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A133C">
      <w:pPr>
        <w:tabs>
          <w:tab w:val="left" w:pos="3090"/>
        </w:tabs>
      </w:pPr>
      <w:r>
        <w:tab/>
      </w:r>
    </w:p>
    <w:p w14:paraId="01D5BF0B">
      <w:pPr>
        <w:pStyle w:val="39"/>
        <w:jc w:val="both"/>
        <w:rPr>
          <w:rFonts w:cs="Calibri"/>
          <w:b/>
          <w:bCs/>
          <w:sz w:val="24"/>
          <w:szCs w:val="24"/>
        </w:rPr>
      </w:pPr>
    </w:p>
    <w:p w14:paraId="0BC3A8E8">
      <w:pPr>
        <w:pStyle w:val="39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4A7D055">
      <w:pPr>
        <w:pStyle w:val="39"/>
        <w:rPr>
          <w:rFonts w:cs="Calibri"/>
          <w:b/>
          <w:bCs/>
          <w:sz w:val="24"/>
          <w:szCs w:val="24"/>
        </w:rPr>
      </w:pPr>
    </w:p>
    <w:p w14:paraId="6C337E42">
      <w:pPr>
        <w:pStyle w:val="3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>
        <w:rPr>
          <w:rFonts w:hint="default" w:cs="Calibri"/>
          <w:b/>
          <w:bCs/>
          <w:sz w:val="24"/>
          <w:szCs w:val="24"/>
          <w:lang w:val="es-ES"/>
        </w:rPr>
        <w:t>556</w:t>
      </w:r>
      <w:r>
        <w:rPr>
          <w:rFonts w:cs="Calibri"/>
          <w:b/>
          <w:bCs/>
          <w:sz w:val="24"/>
          <w:szCs w:val="24"/>
        </w:rPr>
        <w:t>/</w:t>
      </w:r>
      <w:r>
        <w:rPr>
          <w:rFonts w:hint="default" w:cs="Calibri"/>
          <w:b/>
          <w:bCs/>
          <w:sz w:val="24"/>
          <w:szCs w:val="24"/>
          <w:lang w:val="es-ES"/>
        </w:rPr>
        <w:t>31</w:t>
      </w:r>
      <w:r>
        <w:rPr>
          <w:rFonts w:cs="Calibri"/>
          <w:b/>
          <w:bCs/>
          <w:sz w:val="24"/>
          <w:szCs w:val="24"/>
        </w:rPr>
        <w:t>/0</w:t>
      </w:r>
      <w:r>
        <w:rPr>
          <w:rFonts w:hint="default" w:cs="Calibri"/>
          <w:b/>
          <w:bCs/>
          <w:sz w:val="24"/>
          <w:szCs w:val="24"/>
          <w:lang w:val="es-ES"/>
        </w:rPr>
        <w:t>7</w:t>
      </w:r>
      <w:r>
        <w:rPr>
          <w:rFonts w:cs="Calibri"/>
          <w:b/>
          <w:bCs/>
          <w:sz w:val="24"/>
          <w:szCs w:val="24"/>
        </w:rPr>
        <w:t>/2025</w:t>
      </w:r>
    </w:p>
    <w:p w14:paraId="252D0E9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8F55042">
      <w:pPr>
        <w:tabs>
          <w:tab w:val="left" w:pos="3090"/>
        </w:tabs>
        <w:jc w:val="center"/>
        <w:rPr>
          <w:rFonts w:hint="default" w:ascii="Calibri" w:hAnsi="Calibri" w:cs="Calibri"/>
          <w:b/>
          <w:bCs/>
          <w:sz w:val="22"/>
          <w:szCs w:val="22"/>
          <w:lang w:val="es-ES"/>
        </w:rPr>
      </w:pPr>
      <w:bookmarkStart w:id="0" w:name="_GoBack"/>
      <w:r>
        <w:rPr>
          <w:rFonts w:hint="default" w:ascii="Calibri" w:hAnsi="Calibri" w:cs="Calibri"/>
          <w:b/>
          <w:bCs/>
          <w:sz w:val="22"/>
          <w:szCs w:val="22"/>
          <w:lang w:val="es-ES"/>
        </w:rPr>
        <w:t>DERROCHE DE TALENTO Y CULTURA EN LA GALA DE DANZA Y MÚSICA DE LOS TALLERES PERMANENTES DE ARTE DEL GOBIERNO PROVINCIAL</w:t>
      </w:r>
    </w:p>
    <w:bookmarkEnd w:id="0"/>
    <w:p w14:paraId="6E0AEE8E">
      <w:pPr>
        <w:tabs>
          <w:tab w:val="left" w:pos="3090"/>
        </w:tabs>
        <w:jc w:val="center"/>
        <w:rPr>
          <w:rFonts w:hint="default" w:ascii="Calibri" w:hAnsi="Calibri" w:cs="Calibri"/>
          <w:sz w:val="22"/>
          <w:szCs w:val="22"/>
          <w:lang w:val="es-ES"/>
        </w:rPr>
      </w:pPr>
    </w:p>
    <w:p w14:paraId="4BD1F61C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En el marco de la agenda cultural por los 165 años de Provincialización, el Gobierno Provincial de Tungurahua, a través de la Dirección de Desarrollo Humano, Cultura y Deportes, presentó la Gala de Danza y Música, un evento que destacó el compromiso de la institución por fortalecer la formación artística y cultural en la provincia.</w:t>
      </w:r>
    </w:p>
    <w:p w14:paraId="53953BD7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</w:p>
    <w:p w14:paraId="31AAD689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El Director de Desarrollo Humano, Cultura y Deportes, Jacinto Toalombo, dio la bienvenida a padres de familia y público en general que llenaron el Teatro Lalama, resaltando la importancia de abrir espacios para que niñas, niños, jóvenes y adultos fortalezcan sus habilidades y construyan identidad a través del arte.</w:t>
      </w:r>
    </w:p>
    <w:p w14:paraId="6002C88F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</w:p>
    <w:p w14:paraId="10D08696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Más de 200 participantes de los Talleres Permanentes de Arte demostraron en escena el resultado de su preparación y disciplina. El público disfrutó de interpretaciones corales como “Yo me llamo cumbia”, “Canción de la Paz” y “Piel Canela”, bajo la dirección del Lcdo. Henry Torres.</w:t>
      </w:r>
    </w:p>
    <w:p w14:paraId="465A6169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</w:p>
    <w:p w14:paraId="69A0B690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La danza tradicional y contemporánea emocionó con piezas como “Ritmos y rituales de Otavalo”, a cargo del elenco dirigido por el Lcdo. Erick Sailema, y “Los susurros del tiempo”, obra presentada por estudiantes de ballet y danza contemporánea bajo la guía de la Lcda. Jeanette Paredes.</w:t>
      </w:r>
    </w:p>
    <w:p w14:paraId="4C5C9E8A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</w:p>
    <w:p w14:paraId="35885E1D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La velada incluyó además presentaciones del Ensamble de Violines y los grupos de guitarra, dirigidos por los Lcdos. Achic Sisa y Francis Bautista, con temas como “Ojos Azules”, “El caballito azul” y “Ángel de Luz”. El repertorio se completó con interpretaciones de piano y canto, y un ensamble final de música y danza que cerró la gala con ritmos como Sanjuanito, Vals y Yumbo.</w:t>
      </w:r>
    </w:p>
    <w:p w14:paraId="26B81928">
      <w:pPr>
        <w:tabs>
          <w:tab w:val="left" w:pos="3090"/>
        </w:tabs>
        <w:jc w:val="both"/>
        <w:rPr>
          <w:rFonts w:hint="default" w:ascii="Calibri" w:hAnsi="Calibri"/>
          <w:b w:val="0"/>
          <w:bCs w:val="0"/>
          <w:lang w:val="es-ES"/>
        </w:rPr>
      </w:pPr>
    </w:p>
    <w:p w14:paraId="1872716A">
      <w:pPr>
        <w:tabs>
          <w:tab w:val="left" w:pos="3090"/>
        </w:tabs>
        <w:jc w:val="both"/>
        <w:rPr>
          <w:rFonts w:hint="default"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Con esta gala, el Gobierno Provincial de Tungurahua ratifica su compromiso de seguir impulsando espacios de formación artística, convencido de que la cultura une, inspira y proyecta lo mejor de nuestra gente.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15384"/>
    <w:rsid w:val="00050901"/>
    <w:rsid w:val="000737CE"/>
    <w:rsid w:val="000E4097"/>
    <w:rsid w:val="00197FBA"/>
    <w:rsid w:val="001D7C6F"/>
    <w:rsid w:val="00240759"/>
    <w:rsid w:val="002846E0"/>
    <w:rsid w:val="002852EF"/>
    <w:rsid w:val="00332B54"/>
    <w:rsid w:val="004345FE"/>
    <w:rsid w:val="00474340"/>
    <w:rsid w:val="004E327F"/>
    <w:rsid w:val="00502C24"/>
    <w:rsid w:val="00554BE2"/>
    <w:rsid w:val="00595F2D"/>
    <w:rsid w:val="005B7CC9"/>
    <w:rsid w:val="005F1A54"/>
    <w:rsid w:val="00622C68"/>
    <w:rsid w:val="00664026"/>
    <w:rsid w:val="006D71C5"/>
    <w:rsid w:val="00782FEB"/>
    <w:rsid w:val="00834B17"/>
    <w:rsid w:val="008361BB"/>
    <w:rsid w:val="008618B4"/>
    <w:rsid w:val="00891F94"/>
    <w:rsid w:val="008B7425"/>
    <w:rsid w:val="008E4EDA"/>
    <w:rsid w:val="00972A15"/>
    <w:rsid w:val="009879E9"/>
    <w:rsid w:val="009C0DC2"/>
    <w:rsid w:val="00A05CAC"/>
    <w:rsid w:val="00A76636"/>
    <w:rsid w:val="00AB4464"/>
    <w:rsid w:val="00AC6FA6"/>
    <w:rsid w:val="00AD1459"/>
    <w:rsid w:val="00B32590"/>
    <w:rsid w:val="00BA3638"/>
    <w:rsid w:val="00BE0103"/>
    <w:rsid w:val="00C06123"/>
    <w:rsid w:val="00C25CBD"/>
    <w:rsid w:val="00C6086C"/>
    <w:rsid w:val="00CB4B2F"/>
    <w:rsid w:val="00CE054E"/>
    <w:rsid w:val="00DE620F"/>
    <w:rsid w:val="00E00EAE"/>
    <w:rsid w:val="00E916AB"/>
    <w:rsid w:val="00F37561"/>
    <w:rsid w:val="00F80DDA"/>
    <w:rsid w:val="00F946CA"/>
    <w:rsid w:val="00FC2E39"/>
    <w:rsid w:val="272E5831"/>
    <w:rsid w:val="39D03637"/>
    <w:rsid w:val="3B573D26"/>
    <w:rsid w:val="724E15EB"/>
    <w:rsid w:val="7DA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C"/>
      <w14:ligatures w14:val="none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419"/>
        <w:tab w:val="right" w:pos="8838"/>
      </w:tabs>
    </w:pPr>
  </w:style>
  <w:style w:type="paragraph" w:styleId="17">
    <w:name w:val="Subtitle"/>
    <w:basedOn w:val="1"/>
    <w:next w:val="1"/>
    <w:link w:val="29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 C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 destacada C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Encabezado Car"/>
    <w:basedOn w:val="11"/>
    <w:link w:val="14"/>
    <w:qFormat/>
    <w:uiPriority w:val="99"/>
  </w:style>
  <w:style w:type="character" w:customStyle="1" w:styleId="38">
    <w:name w:val="Pie de página Car"/>
    <w:basedOn w:val="11"/>
    <w:link w:val="16"/>
    <w:qFormat/>
    <w:uiPriority w:val="99"/>
  </w:style>
  <w:style w:type="paragraph" w:styleId="39">
    <w:name w:val="No Spacing"/>
    <w:qFormat/>
    <w:uiPriority w:val="1"/>
    <w:rPr>
      <w:rFonts w:ascii="Calibri" w:hAnsi="Calibri" w:eastAsia="Calibri" w:cs="Times New Roman"/>
      <w:kern w:val="0"/>
      <w:sz w:val="22"/>
      <w:szCs w:val="22"/>
      <w:lang w:val="es-ES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D174-FD9C-47F1-A155-F8B551F4DA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2528</Characters>
  <Lines>21</Lines>
  <Paragraphs>5</Paragraphs>
  <TotalTime>399</TotalTime>
  <ScaleCrop>false</ScaleCrop>
  <LinksUpToDate>false</LinksUpToDate>
  <CharactersWithSpaces>2982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2025-05-09T13:30:00Z</dcterms:created>
  <dc:creator>R. Externas</dc:creator>
  <cp:lastModifiedBy>USUARIO</cp:lastModifiedBy>
  <cp:lastPrinted>2025-05-12T17:18:00Z</cp:lastPrinted>
  <dcterms:modified xsi:type="dcterms:W3CDTF">2025-07-31T23:02:43Z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98807541AD2644F283E9F262DFAAD719_13</vt:lpwstr>
  </property>
</Properties>
</file>