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rPr>
          <w:sz w:val="22"/>
          <w:szCs w:val="22"/>
        </w:rPr>
      </w:pPr>
    </w:p>
    <w:p w14:paraId="00000002">
      <w:pPr>
        <w:rPr>
          <w:sz w:val="22"/>
          <w:szCs w:val="22"/>
        </w:rPr>
      </w:pPr>
      <w:r>
        <w:rPr>
          <w:sz w:val="22"/>
          <w:szCs w:val="22"/>
          <w:rtl w:val="0"/>
        </w:rPr>
        <w:t>HGPT-No3</w:t>
      </w:r>
      <w:r>
        <w:rPr>
          <w:rFonts w:hint="default"/>
          <w:sz w:val="22"/>
          <w:szCs w:val="22"/>
          <w:rtl w:val="0"/>
          <w:lang w:val="es-ES"/>
        </w:rPr>
        <w:t>51</w:t>
      </w:r>
      <w:r>
        <w:rPr>
          <w:sz w:val="22"/>
          <w:szCs w:val="22"/>
          <w:rtl w:val="0"/>
        </w:rPr>
        <w:t>-1</w:t>
      </w:r>
      <w:r>
        <w:rPr>
          <w:rFonts w:hint="default"/>
          <w:sz w:val="22"/>
          <w:szCs w:val="22"/>
          <w:rtl w:val="0"/>
          <w:lang w:val="es-ES"/>
        </w:rPr>
        <w:t>5</w:t>
      </w:r>
      <w:r>
        <w:rPr>
          <w:sz w:val="22"/>
          <w:szCs w:val="22"/>
          <w:rtl w:val="0"/>
        </w:rPr>
        <w:t>-05-2025</w:t>
      </w:r>
    </w:p>
    <w:p w14:paraId="00000003">
      <w:pPr>
        <w:jc w:val="center"/>
        <w:rPr>
          <w:b/>
          <w:sz w:val="22"/>
          <w:szCs w:val="22"/>
        </w:rPr>
      </w:pPr>
      <w:r>
        <w:rPr>
          <w:b/>
          <w:sz w:val="22"/>
          <w:szCs w:val="22"/>
          <w:rtl w:val="0"/>
        </w:rPr>
        <w:t>BOLETÍN DE PRENSA</w:t>
      </w:r>
    </w:p>
    <w:p w14:paraId="00000004">
      <w:pPr>
        <w:rPr>
          <w:sz w:val="22"/>
          <w:szCs w:val="22"/>
        </w:rPr>
      </w:pPr>
    </w:p>
    <w:p w14:paraId="39D34661">
      <w:pPr>
        <w:jc w:val="center"/>
        <w:rPr>
          <w:rFonts w:hint="default"/>
          <w:b/>
          <w:rtl w:val="0"/>
        </w:rPr>
      </w:pPr>
      <w:bookmarkStart w:id="0" w:name="_a9nqlo8rl0zh" w:colFirst="0" w:colLast="0"/>
      <w:bookmarkEnd w:id="0"/>
      <w:r>
        <w:rPr>
          <w:rFonts w:hint="default"/>
          <w:b/>
          <w:rtl w:val="0"/>
        </w:rPr>
        <w:t>Gobiernos provinciales de la zona centro se reúnen en Ambato para fortalecer la integración regional</w:t>
      </w:r>
    </w:p>
    <w:p w14:paraId="3DF2E44E">
      <w:pPr>
        <w:jc w:val="both"/>
        <w:rPr>
          <w:rFonts w:hint="default"/>
          <w:b/>
          <w:rtl w:val="0"/>
        </w:rPr>
      </w:pPr>
    </w:p>
    <w:p w14:paraId="3F8906C4">
      <w:pPr>
        <w:jc w:val="both"/>
        <w:rPr>
          <w:rFonts w:hint="default"/>
          <w:b w:val="0"/>
          <w:bCs/>
          <w:rtl w:val="0"/>
        </w:rPr>
      </w:pPr>
      <w:r>
        <w:rPr>
          <w:rFonts w:hint="default"/>
          <w:b w:val="0"/>
          <w:bCs/>
          <w:rtl w:val="0"/>
        </w:rPr>
        <w:t>Tungurahua será anfitrión de la sesión ordinaria de la Asamblea General de la Mancomunidad de los Gobiernos Provinciales de la Zona Centro del Ecuador, que se desarrollará el lunes 19 de mayo de 2025, a las 11h00, en el Auditorio Tres Juanes</w:t>
      </w:r>
      <w:r>
        <w:rPr>
          <w:rFonts w:hint="default"/>
          <w:b w:val="0"/>
          <w:bCs/>
          <w:rtl w:val="0"/>
          <w:lang w:val="es-ES"/>
        </w:rPr>
        <w:t>, del Edificio de Ciencias de la salud</w:t>
      </w:r>
      <w:bookmarkStart w:id="1" w:name="_GoBack"/>
      <w:bookmarkEnd w:id="1"/>
      <w:r>
        <w:rPr>
          <w:rFonts w:hint="default"/>
          <w:b w:val="0"/>
          <w:bCs/>
          <w:rtl w:val="0"/>
        </w:rPr>
        <w:t xml:space="preserve"> de la Pontificia Universidad Católica del Ecuador – Sede Ambato, edificio de Ciencias de la Salud, piso 8.</w:t>
      </w:r>
    </w:p>
    <w:p w14:paraId="15297A6B">
      <w:pPr>
        <w:jc w:val="both"/>
        <w:rPr>
          <w:rFonts w:hint="default"/>
          <w:b w:val="0"/>
          <w:bCs/>
          <w:rtl w:val="0"/>
        </w:rPr>
      </w:pPr>
    </w:p>
    <w:p w14:paraId="71F73ECD">
      <w:pPr>
        <w:jc w:val="both"/>
        <w:rPr>
          <w:rFonts w:hint="default"/>
          <w:b w:val="0"/>
          <w:bCs/>
          <w:rtl w:val="0"/>
        </w:rPr>
      </w:pPr>
      <w:r>
        <w:rPr>
          <w:rFonts w:hint="default"/>
          <w:b w:val="0"/>
          <w:bCs/>
          <w:rtl w:val="0"/>
        </w:rPr>
        <w:t>A la convocatoria asistirán los prefectos de Bolívar, Chimborazo, Cotopaxi, Napo, Pastaza y Tungurahua, quienes analizarán temas clave para la articulación territorial entre las seis provincias. En esta jornada se tratará la lectura y aprobación del acta anterior, se presentará oficialmente la Mancomunidad a los asambleístas provinciales y autoridades de gobierno, y se abordará el oficio relacionado con la defensa de los límites territoriales en las zonas de Juval, Pomachocho y Huangras, a favor de Chimborazo.</w:t>
      </w:r>
    </w:p>
    <w:p w14:paraId="29A70B86">
      <w:pPr>
        <w:jc w:val="both"/>
        <w:rPr>
          <w:rFonts w:hint="default"/>
          <w:b w:val="0"/>
          <w:bCs/>
          <w:rtl w:val="0"/>
        </w:rPr>
      </w:pPr>
    </w:p>
    <w:p w14:paraId="00000011">
      <w:pPr>
        <w:jc w:val="both"/>
        <w:rPr>
          <w:rFonts w:hint="default"/>
          <w:b w:val="0"/>
          <w:bCs/>
          <w:sz w:val="24"/>
          <w:szCs w:val="24"/>
          <w:rtl w:val="0"/>
        </w:rPr>
      </w:pPr>
      <w:r>
        <w:rPr>
          <w:rFonts w:hint="default"/>
          <w:b w:val="0"/>
          <w:bCs/>
          <w:rtl w:val="0"/>
        </w:rPr>
        <w:t>La Mancomunidad de los Gobiernos Provinciales de la Zona Centro del Ecuador representa un espacio estratégico de integración interprovincial, que permite sumar capacidades técnicas, políticas y sociales en favor del progreso territorial. En cada encuentro se propicia el diálogo, el análisis de problemáticas compartidas y la construcción de acuerdos orientados a fortalecer la institucionalidad, mejorar la calidad de vida de la población y posicionar la región centro como un eje clave de articulación nacional.</w:t>
      </w:r>
    </w:p>
    <w:sectPr>
      <w:headerReference r:id="rId3" w:type="default"/>
      <w:footerReference r:id="rId4" w:type="default"/>
      <w:pgSz w:w="11906" w:h="16838"/>
      <w:pgMar w:top="1417" w:right="1701" w:bottom="993" w:left="1701" w:header="70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13">
    <w:pPr>
      <w:keepNext w:val="0"/>
      <w:keepLines w:val="0"/>
      <w:widowControl/>
      <w:pBdr>
        <w:top w:val="none" w:color="000000" w:sz="0" w:space="0"/>
        <w:left w:val="none" w:color="000000" w:sz="0" w:space="0"/>
        <w:bottom w:val="none" w:color="000000" w:sz="0" w:space="0"/>
        <w:right w:val="none" w:color="000000" w:sz="0" w:space="0"/>
        <w:between w:val="none" w:color="000000" w:sz="0" w:space="0"/>
      </w:pBdr>
      <w:shd w:val="clear" w:fill="auto"/>
      <w:tabs>
        <w:tab w:val="center" w:pos="4419"/>
        <w:tab w:val="right" w:pos="8838"/>
      </w:tabs>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r>
      <w:drawing>
        <wp:anchor distT="0" distB="0" distL="0" distR="0" simplePos="0" relativeHeight="251659264" behindDoc="1" locked="0" layoutInCell="1" allowOverlap="1">
          <wp:simplePos x="0" y="0"/>
          <wp:positionH relativeFrom="column">
            <wp:posOffset>-1071880</wp:posOffset>
          </wp:positionH>
          <wp:positionV relativeFrom="paragraph">
            <wp:posOffset>-833120</wp:posOffset>
          </wp:positionV>
          <wp:extent cx="7534275" cy="1466850"/>
          <wp:effectExtent l="0" t="0" r="0" b="0"/>
          <wp:wrapNone/>
          <wp:docPr id="2" name="image2.png" descr="Imagen en blanco y negr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2" name="image2.png" descr="Imagen en blanco y negro&#10;&#10;Descripción generada automáticamente con confianza baja"/>
                  <pic:cNvPicPr preferRelativeResize="0"/>
                </pic:nvPicPr>
                <pic:blipFill>
                  <a:blip r:embed="rId1"/>
                  <a:srcRect/>
                  <a:stretch>
                    <a:fillRect/>
                  </a:stretch>
                </pic:blipFill>
                <pic:spPr>
                  <a:xfrm>
                    <a:off x="0" y="0"/>
                    <a:ext cx="7534275" cy="146685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12">
    <w:pPr>
      <w:keepNext w:val="0"/>
      <w:keepLines w:val="0"/>
      <w:widowControl/>
      <w:pBdr>
        <w:top w:val="none" w:color="000000" w:sz="0" w:space="0"/>
        <w:left w:val="none" w:color="000000" w:sz="0" w:space="0"/>
        <w:bottom w:val="none" w:color="000000" w:sz="0" w:space="0"/>
        <w:right w:val="none" w:color="000000" w:sz="0" w:space="0"/>
        <w:between w:val="none" w:color="000000" w:sz="0" w:space="0"/>
      </w:pBdr>
      <w:shd w:val="clear" w:fill="auto"/>
      <w:tabs>
        <w:tab w:val="center" w:pos="4419"/>
        <w:tab w:val="right" w:pos="8838"/>
      </w:tabs>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r>
      <w:drawing>
        <wp:anchor distT="0" distB="0" distL="0" distR="0" simplePos="0" relativeHeight="251659264" behindDoc="1" locked="0" layoutInCell="1" allowOverlap="1">
          <wp:simplePos x="0" y="0"/>
          <wp:positionH relativeFrom="column">
            <wp:posOffset>-1070610</wp:posOffset>
          </wp:positionH>
          <wp:positionV relativeFrom="paragraph">
            <wp:posOffset>-440055</wp:posOffset>
          </wp:positionV>
          <wp:extent cx="7548880" cy="9500870"/>
          <wp:effectExtent l="0" t="0" r="0" b="0"/>
          <wp:wrapNone/>
          <wp:docPr id="1"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Texto&#10;&#10;Descripción generada automáticamente"/>
                  <pic:cNvPicPr preferRelativeResize="0"/>
                </pic:nvPicPr>
                <pic:blipFill>
                  <a:blip r:embed="rId1"/>
                  <a:srcRect/>
                  <a:stretch>
                    <a:fillRect/>
                  </a:stretch>
                </pic:blipFill>
                <pic:spPr>
                  <a:xfrm>
                    <a:off x="0" y="0"/>
                    <a:ext cx="7549012" cy="950066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ompat>
    <w:compatSetting w:name="compatibilityMode" w:uri="http://schemas.microsoft.com/office/word" w:val="15"/>
  </w:compat>
  <w:rsids>
    <w:rsidRoot w:val="00000000"/>
    <w:rsid w:val="1AFE5143"/>
    <w:rsid w:val="212A1FE3"/>
    <w:rsid w:val="54AC2F32"/>
    <w:rsid w:val="5D9C7C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Calibri" w:hAnsi="Calibri" w:eastAsia="Calibri" w:cs="Calibri"/>
      <w:sz w:val="24"/>
      <w:szCs w:val="24"/>
      <w:lang w:val="es-ES"/>
    </w:rPr>
  </w:style>
  <w:style w:type="paragraph" w:styleId="2">
    <w:name w:val="heading 1"/>
    <w:basedOn w:val="1"/>
    <w:next w:val="1"/>
    <w:qFormat/>
    <w:uiPriority w:val="0"/>
    <w:pPr>
      <w:keepNext/>
      <w:keepLines/>
      <w:pageBreakBefore w:val="0"/>
      <w:spacing w:before="480" w:after="120"/>
    </w:pPr>
    <w:rPr>
      <w:b/>
      <w:sz w:val="48"/>
      <w:szCs w:val="48"/>
    </w:rPr>
  </w:style>
  <w:style w:type="paragraph" w:styleId="3">
    <w:name w:val="heading 2"/>
    <w:basedOn w:val="1"/>
    <w:next w:val="1"/>
    <w:uiPriority w:val="0"/>
    <w:pPr>
      <w:keepNext/>
      <w:keepLines/>
      <w:pageBreakBefore w:val="0"/>
      <w:spacing w:before="360" w:after="80"/>
    </w:pPr>
    <w:rPr>
      <w:b/>
      <w:sz w:val="36"/>
      <w:szCs w:val="36"/>
    </w:rPr>
  </w:style>
  <w:style w:type="paragraph" w:styleId="4">
    <w:name w:val="heading 3"/>
    <w:basedOn w:val="1"/>
    <w:next w:val="1"/>
    <w:uiPriority w:val="0"/>
    <w:pPr>
      <w:keepNext/>
      <w:keepLines/>
      <w:pageBreakBefore w:val="0"/>
      <w:spacing w:before="280" w:after="80"/>
    </w:pPr>
    <w:rPr>
      <w:b/>
      <w:sz w:val="28"/>
      <w:szCs w:val="28"/>
    </w:rPr>
  </w:style>
  <w:style w:type="paragraph" w:styleId="5">
    <w:name w:val="heading 4"/>
    <w:basedOn w:val="1"/>
    <w:next w:val="1"/>
    <w:uiPriority w:val="0"/>
    <w:pPr>
      <w:keepNext/>
      <w:keepLines/>
      <w:pageBreakBefore w:val="0"/>
      <w:spacing w:before="240" w:after="40"/>
    </w:pPr>
    <w:rPr>
      <w:b/>
      <w:sz w:val="24"/>
      <w:szCs w:val="24"/>
    </w:rPr>
  </w:style>
  <w:style w:type="paragraph" w:styleId="6">
    <w:name w:val="heading 5"/>
    <w:basedOn w:val="1"/>
    <w:next w:val="1"/>
    <w:uiPriority w:val="0"/>
    <w:pPr>
      <w:keepNext/>
      <w:keepLines/>
      <w:pageBreakBefore w:val="0"/>
      <w:spacing w:before="220" w:after="40"/>
    </w:pPr>
    <w:rPr>
      <w:b/>
      <w:sz w:val="22"/>
      <w:szCs w:val="22"/>
    </w:rPr>
  </w:style>
  <w:style w:type="paragraph" w:styleId="7">
    <w:name w:val="heading 6"/>
    <w:basedOn w:val="1"/>
    <w:next w:val="1"/>
    <w:uiPriority w:val="0"/>
    <w:pPr>
      <w:keepNext/>
      <w:keepLines/>
      <w:pageBreakBefore w:val="0"/>
      <w:spacing w:before="200" w:after="40"/>
    </w:pPr>
    <w:rPr>
      <w:b/>
      <w:sz w:val="20"/>
      <w:szCs w:val="20"/>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10">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paragraph" w:styleId="11">
    <w:name w:val="Title"/>
    <w:basedOn w:val="1"/>
    <w:next w:val="1"/>
    <w:uiPriority w:val="0"/>
    <w:pPr>
      <w:keepNext/>
      <w:keepLines/>
      <w:pageBreakBefore w:val="0"/>
      <w:spacing w:before="480" w:after="120"/>
    </w:pPr>
    <w:rPr>
      <w:b/>
      <w:sz w:val="72"/>
      <w:szCs w:val="72"/>
    </w:rPr>
  </w:style>
  <w:style w:type="table" w:customStyle="1" w:styleId="12">
    <w:name w:val="Table Normal"/>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1</Pages>
  <TotalTime>116</TotalTime>
  <ScaleCrop>false</ScaleCrop>
  <LinksUpToDate>false</LinksUpToDate>
  <Application>WPS Office_12.2.0.20795_F1E327BC-269C-435d-A152-05C5408002CA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2025-05-12T21:19:00Z</dcterms:created>
  <dc:creator>USUARIO</dc:creator>
  <cp:lastModifiedBy>USUARIO</cp:lastModifiedBy>
  <dcterms:modified xsi:type="dcterms:W3CDTF">2025-05-16T20:07:33Z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2058-12.2.0.20795</vt:lpwstr>
  </property>
  <property fmtid="{D5CDD505-2E9C-101B-9397-08002B2CF9AE}" pid="3" name="ICV">
    <vt:lpwstr>8CD2B4EEA6114A45BAEE57C353B9400B_13</vt:lpwstr>
  </property>
</Properties>
</file>