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E1E8D">
      <w:pPr>
        <w:tabs>
          <w:tab w:val="left" w:pos="3090"/>
        </w:tabs>
        <w:jc w:val="both"/>
        <w:rPr>
          <w:rFonts w:ascii="Calibri" w:hAnsi="Calibri" w:cs="Calibri"/>
          <w:sz w:val="22"/>
          <w:szCs w:val="22"/>
        </w:rPr>
      </w:pPr>
    </w:p>
    <w:p w14:paraId="06C0C93B">
      <w:pPr>
        <w:pStyle w:val="37"/>
        <w:rPr>
          <w:rFonts w:cs="Calibri"/>
          <w:b/>
          <w:bCs/>
          <w:sz w:val="24"/>
          <w:szCs w:val="24"/>
        </w:rPr>
      </w:pPr>
    </w:p>
    <w:p w14:paraId="3A9B4DD7">
      <w:pPr>
        <w:pStyle w:val="37"/>
        <w:jc w:val="center"/>
        <w:rPr>
          <w:rFonts w:cs="Calibri"/>
          <w:b/>
          <w:bCs/>
          <w:sz w:val="24"/>
          <w:szCs w:val="24"/>
        </w:rPr>
      </w:pPr>
    </w:p>
    <w:p w14:paraId="4B7AF150">
      <w:pPr>
        <w:pStyle w:val="37"/>
        <w:jc w:val="center"/>
        <w:rPr>
          <w:rFonts w:cs="Calibri"/>
          <w:b/>
          <w:bCs/>
          <w:sz w:val="24"/>
          <w:szCs w:val="24"/>
        </w:rPr>
      </w:pPr>
      <w:r>
        <w:rPr>
          <w:rFonts w:cs="Calibri"/>
          <w:b/>
          <w:bCs/>
          <w:sz w:val="24"/>
          <w:szCs w:val="24"/>
        </w:rPr>
        <w:t>BOLETÍN DE PRENSA</w:t>
      </w:r>
    </w:p>
    <w:p w14:paraId="4613234C">
      <w:pPr>
        <w:pStyle w:val="37"/>
        <w:rPr>
          <w:rFonts w:cs="Calibri"/>
          <w:b/>
          <w:bCs/>
          <w:sz w:val="24"/>
          <w:szCs w:val="24"/>
        </w:rPr>
      </w:pPr>
    </w:p>
    <w:p w14:paraId="23463590">
      <w:pPr>
        <w:pStyle w:val="37"/>
        <w:rPr>
          <w:rFonts w:cs="Calibri"/>
          <w:b/>
          <w:bCs/>
          <w:sz w:val="24"/>
          <w:szCs w:val="24"/>
        </w:rPr>
      </w:pPr>
      <w:r>
        <w:rPr>
          <w:rFonts w:cs="Calibri"/>
          <w:b/>
          <w:bCs/>
          <w:sz w:val="24"/>
          <w:szCs w:val="24"/>
        </w:rPr>
        <w:t>HGPT/641/09/09/2025</w:t>
      </w:r>
    </w:p>
    <w:p w14:paraId="57ECF278">
      <w:pPr>
        <w:pStyle w:val="37"/>
        <w:rPr>
          <w:rFonts w:cs="Calibri"/>
          <w:b/>
          <w:bCs/>
          <w:sz w:val="24"/>
          <w:szCs w:val="24"/>
        </w:rPr>
      </w:pPr>
    </w:p>
    <w:p w14:paraId="2D3F30AC">
      <w:pPr>
        <w:tabs>
          <w:tab w:val="left" w:pos="3090"/>
        </w:tabs>
        <w:jc w:val="both"/>
        <w:rPr>
          <w:rFonts w:ascii="Calibri" w:hAnsi="Calibri" w:cs="Calibri"/>
          <w:b/>
          <w:bCs/>
          <w:sz w:val="22"/>
          <w:szCs w:val="22"/>
        </w:rPr>
      </w:pPr>
    </w:p>
    <w:p w14:paraId="2F61EFEC">
      <w:pPr>
        <w:tabs>
          <w:tab w:val="left" w:pos="3090"/>
        </w:tabs>
        <w:jc w:val="center"/>
        <w:rPr>
          <w:rFonts w:hint="default" w:ascii="Calibri" w:hAnsi="Calibri" w:cs="Calibri"/>
          <w:b/>
          <w:bCs/>
          <w:sz w:val="22"/>
          <w:szCs w:val="22"/>
          <w:lang w:val="es-ES"/>
        </w:rPr>
      </w:pPr>
      <w:r>
        <w:rPr>
          <w:rFonts w:hint="default" w:ascii="Calibri" w:hAnsi="Calibri" w:cs="Calibri"/>
          <w:b/>
          <w:bCs/>
          <w:sz w:val="22"/>
          <w:szCs w:val="22"/>
          <w:lang w:val="es-ES"/>
        </w:rPr>
        <w:t>ECUADOR SUMA DOS GEOPARQUES A LA RED MUNDIAL UNESCO:</w:t>
      </w:r>
    </w:p>
    <w:p w14:paraId="56716F90">
      <w:pPr>
        <w:widowControl w:val="0"/>
        <w:autoSpaceDE w:val="0"/>
        <w:autoSpaceDN w:val="0"/>
        <w:jc w:val="center"/>
        <w:rPr>
          <w:rFonts w:ascii="Calibri" w:hAnsi="Calibri" w:eastAsia="Times New Roman" w:cs="Calibri"/>
          <w:b/>
          <w:kern w:val="0"/>
          <w:sz w:val="22"/>
          <w:szCs w:val="22"/>
          <w14:ligatures w14:val="none"/>
        </w:rPr>
      </w:pPr>
    </w:p>
    <w:p w14:paraId="08F056E6">
      <w:pPr>
        <w:widowControl w:val="0"/>
        <w:autoSpaceDE w:val="0"/>
        <w:autoSpaceDN w:val="0"/>
        <w:jc w:val="center"/>
        <w:rPr>
          <w:rFonts w:ascii="Calibri" w:hAnsi="Calibri" w:eastAsia="Times New Roman" w:cs="Calibri"/>
          <w:b/>
          <w:bCs w:val="0"/>
          <w:color w:val="000000" w:themeColor="text1"/>
          <w:kern w:val="0"/>
          <w:sz w:val="22"/>
          <w:szCs w:val="22"/>
          <w14:textFill>
            <w14:solidFill>
              <w14:schemeClr w14:val="tx1"/>
            </w14:solidFill>
          </w14:textFill>
          <w14:ligatures w14:val="none"/>
        </w:rPr>
      </w:pPr>
      <w:r>
        <w:rPr>
          <w:rFonts w:ascii="Calibri" w:hAnsi="Calibri" w:eastAsia="Times New Roman" w:cs="Calibri"/>
          <w:b/>
          <w:bCs w:val="0"/>
          <w:color w:val="000000" w:themeColor="text1"/>
          <w:kern w:val="0"/>
          <w:sz w:val="22"/>
          <w:szCs w:val="22"/>
          <w14:textFill>
            <w14:solidFill>
              <w14:schemeClr w14:val="tx1"/>
            </w14:solidFill>
          </w14:textFill>
          <w14:ligatures w14:val="none"/>
        </w:rPr>
        <w:t xml:space="preserve">ESTE MIÉRCOLES TUNGURAHUA Y CHIMBORAZO RECIBEN EN CHILE  </w:t>
      </w:r>
    </w:p>
    <w:p w14:paraId="58D1D6CE">
      <w:pPr>
        <w:widowControl w:val="0"/>
        <w:autoSpaceDE w:val="0"/>
        <w:autoSpaceDN w:val="0"/>
        <w:jc w:val="center"/>
        <w:rPr>
          <w:rFonts w:ascii="Calibri" w:hAnsi="Calibri" w:eastAsia="Times New Roman" w:cs="Calibri"/>
          <w:b/>
          <w:bCs w:val="0"/>
          <w:color w:val="000000" w:themeColor="text1"/>
          <w:kern w:val="0"/>
          <w:sz w:val="22"/>
          <w:szCs w:val="22"/>
          <w14:textFill>
            <w14:solidFill>
              <w14:schemeClr w14:val="tx1"/>
            </w14:solidFill>
          </w14:textFill>
          <w14:ligatures w14:val="none"/>
        </w:rPr>
      </w:pPr>
      <w:r>
        <w:rPr>
          <w:rFonts w:ascii="Calibri" w:hAnsi="Calibri" w:eastAsia="Times New Roman" w:cs="Calibri"/>
          <w:b/>
          <w:bCs w:val="0"/>
          <w:color w:val="000000" w:themeColor="text1"/>
          <w:kern w:val="0"/>
          <w:sz w:val="22"/>
          <w:szCs w:val="22"/>
          <w14:textFill>
            <w14:solidFill>
              <w14:schemeClr w14:val="tx1"/>
            </w14:solidFill>
          </w14:textFill>
          <w14:ligatures w14:val="none"/>
        </w:rPr>
        <w:t xml:space="preserve">El RECONOCIMIENTO  OFICIAL  COMO  GEOPARQUE  MUNDIAL DE LA UNESCO VOLCAN TUNGURAHUA </w:t>
      </w:r>
    </w:p>
    <w:p w14:paraId="052A8178">
      <w:pPr>
        <w:tabs>
          <w:tab w:val="left" w:pos="3090"/>
        </w:tabs>
        <w:jc w:val="both"/>
        <w:rPr>
          <w:rFonts w:ascii="Calibri" w:hAnsi="Calibri" w:cs="Calibri"/>
          <w:bCs/>
          <w:color w:val="000000" w:themeColor="text1"/>
          <w:sz w:val="22"/>
          <w:szCs w:val="22"/>
          <w14:textFill>
            <w14:solidFill>
              <w14:schemeClr w14:val="tx1"/>
            </w14:solidFill>
          </w14:textFill>
        </w:rPr>
      </w:pPr>
    </w:p>
    <w:p w14:paraId="6B98BB17">
      <w:pPr>
        <w:tabs>
          <w:tab w:val="left" w:pos="3090"/>
        </w:tabs>
        <w:spacing w:beforeLines="0" w:afterLines="0"/>
        <w:jc w:val="both"/>
        <w:rPr>
          <w:rFonts w:hint="default" w:ascii="Calibri" w:hAnsi="Calibri"/>
          <w:sz w:val="22"/>
          <w:szCs w:val="22"/>
        </w:rPr>
      </w:pPr>
      <w:r>
        <w:rPr>
          <w:rFonts w:hint="default" w:ascii="Calibri" w:hAnsi="Calibri"/>
          <w:sz w:val="22"/>
          <w:szCs w:val="22"/>
        </w:rPr>
        <w:t>Este miércoles 10 de septiembre de 2025, las provincias ecuatorianas de Tungurahua y Chimborazo reciben de manera oficial la acreditación como Geoparque Mundial de la UNESCO – Volcán Tungurahua, un reconocimiento que marca un antes y un después en la gestión territorial del país. El galardón, de alcance internacional, es el resultado de más de una década de trabajo en torno a la investigación científica, la conservación ambiental, la educación y el desarrollo sostenible.</w:t>
      </w:r>
    </w:p>
    <w:p w14:paraId="52CC8078">
      <w:pPr>
        <w:tabs>
          <w:tab w:val="left" w:pos="3090"/>
        </w:tabs>
        <w:spacing w:beforeLines="0" w:afterLines="0"/>
        <w:jc w:val="both"/>
        <w:rPr>
          <w:rFonts w:hint="default" w:ascii="Calibri" w:hAnsi="Calibri"/>
          <w:sz w:val="22"/>
          <w:szCs w:val="22"/>
        </w:rPr>
      </w:pPr>
    </w:p>
    <w:p w14:paraId="33BB69F4">
      <w:pPr>
        <w:tabs>
          <w:tab w:val="left" w:pos="3090"/>
        </w:tabs>
        <w:spacing w:beforeLines="0" w:afterLines="0"/>
        <w:jc w:val="both"/>
        <w:rPr>
          <w:rFonts w:hint="default" w:ascii="Calibri" w:hAnsi="Calibri"/>
          <w:sz w:val="22"/>
          <w:szCs w:val="22"/>
        </w:rPr>
      </w:pPr>
      <w:r>
        <w:rPr>
          <w:rFonts w:hint="default" w:ascii="Calibri" w:hAnsi="Calibri"/>
          <w:sz w:val="22"/>
          <w:szCs w:val="22"/>
        </w:rPr>
        <w:t>La entrega oficial tendrá lugar en Temuco, Chile, durante una cena de gala a las 19h30 hora local (17h30 en Ecuador), en la que la UNESCO sumará a 16 nuevos territorios a su Red Global de Geoparques, que hoy reúne experiencias destacadas en los cinco continentes. El evento congrega a autoridades internacionales, delegaciones oficiales, científicos y gestores de territorios, convirtiéndose en un espacio clave para la promoción de la ciencia, la cultura y la naturaleza.</w:t>
      </w:r>
    </w:p>
    <w:p w14:paraId="23A8EA4B">
      <w:pPr>
        <w:tabs>
          <w:tab w:val="left" w:pos="3090"/>
        </w:tabs>
        <w:spacing w:beforeLines="0" w:afterLines="0"/>
        <w:jc w:val="both"/>
        <w:rPr>
          <w:rFonts w:hint="default" w:ascii="Calibri" w:hAnsi="Calibri"/>
          <w:sz w:val="22"/>
          <w:szCs w:val="22"/>
        </w:rPr>
      </w:pPr>
    </w:p>
    <w:p w14:paraId="2AC79338">
      <w:pPr>
        <w:tabs>
          <w:tab w:val="left" w:pos="3090"/>
        </w:tabs>
        <w:spacing w:beforeLines="0" w:afterLines="0"/>
        <w:jc w:val="both"/>
        <w:rPr>
          <w:rFonts w:hint="default" w:ascii="Calibri" w:hAnsi="Calibri"/>
          <w:b/>
          <w:sz w:val="22"/>
          <w:szCs w:val="22"/>
        </w:rPr>
      </w:pPr>
      <w:r>
        <w:rPr>
          <w:rFonts w:hint="default" w:ascii="Calibri" w:hAnsi="Calibri"/>
          <w:b/>
          <w:sz w:val="22"/>
          <w:szCs w:val="22"/>
        </w:rPr>
        <w:t>Un reconocimiento a la gestión conjunta</w:t>
      </w:r>
    </w:p>
    <w:p w14:paraId="12258012">
      <w:pPr>
        <w:tabs>
          <w:tab w:val="left" w:pos="3090"/>
        </w:tabs>
        <w:spacing w:beforeLines="0" w:afterLines="0"/>
        <w:jc w:val="both"/>
        <w:rPr>
          <w:rFonts w:hint="default" w:ascii="Calibri" w:hAnsi="Calibri"/>
          <w:sz w:val="22"/>
          <w:szCs w:val="22"/>
        </w:rPr>
      </w:pPr>
    </w:p>
    <w:p w14:paraId="6835A912">
      <w:pPr>
        <w:tabs>
          <w:tab w:val="left" w:pos="3090"/>
        </w:tabs>
        <w:spacing w:beforeLines="0" w:afterLines="0"/>
        <w:jc w:val="both"/>
        <w:rPr>
          <w:rFonts w:hint="default" w:ascii="Calibri" w:hAnsi="Calibri"/>
          <w:sz w:val="22"/>
          <w:szCs w:val="22"/>
        </w:rPr>
      </w:pPr>
      <w:r>
        <w:rPr>
          <w:rFonts w:hint="default" w:ascii="Calibri" w:hAnsi="Calibri"/>
          <w:sz w:val="22"/>
          <w:szCs w:val="22"/>
        </w:rPr>
        <w:t>El Geoparque Volcán Tungurahua es fruto de un esfuerzo articulado entre el Gobierno Provincial de Tungurahua, los municipios de Baños de Agua Santa, Patate y Pelileo, y el Gobierno Provincial de Chimborazo junto a los cantones de Guano y Penipe. A este trabajo se han sumado universidades, comunidades, organizaciones sociales y productivas, consolidando un modelo de gestión participativa que hoy se proyecta como referencia en la región andina.</w:t>
      </w:r>
    </w:p>
    <w:p w14:paraId="0F6B499A">
      <w:pPr>
        <w:tabs>
          <w:tab w:val="left" w:pos="3090"/>
        </w:tabs>
        <w:spacing w:beforeLines="0" w:afterLines="0"/>
        <w:jc w:val="both"/>
        <w:rPr>
          <w:rFonts w:hint="default" w:ascii="Calibri" w:hAnsi="Calibri"/>
          <w:sz w:val="22"/>
          <w:szCs w:val="22"/>
        </w:rPr>
      </w:pPr>
    </w:p>
    <w:p w14:paraId="627813E5">
      <w:pPr>
        <w:tabs>
          <w:tab w:val="left" w:pos="3090"/>
        </w:tabs>
        <w:spacing w:beforeLines="0" w:afterLines="0"/>
        <w:jc w:val="both"/>
        <w:rPr>
          <w:rFonts w:hint="default" w:ascii="Calibri" w:hAnsi="Calibri"/>
          <w:sz w:val="22"/>
          <w:szCs w:val="22"/>
        </w:rPr>
      </w:pPr>
      <w:r>
        <w:rPr>
          <w:rFonts w:hint="default" w:ascii="Calibri" w:hAnsi="Calibri"/>
          <w:sz w:val="22"/>
          <w:szCs w:val="22"/>
        </w:rPr>
        <w:t>Además, Ecuador celebra también la incorporación del Geoparque Napo Sumaco, ubicado en la Amazonía, ampliando así la presencia del país en la Red Global de Geoparques de la UNESCO</w:t>
      </w:r>
      <w:r>
        <w:rPr>
          <w:rFonts w:hint="default" w:ascii="Calibri" w:hAnsi="Calibri"/>
          <w:sz w:val="22"/>
          <w:szCs w:val="22"/>
          <w:lang w:val="es-ES"/>
        </w:rPr>
        <w:t>, otro territorio que se suma a esta Red al igual que el Geoparque Mundial Imbabura, reconocido por la UNESCO en 2019</w:t>
      </w:r>
      <w:r>
        <w:rPr>
          <w:rFonts w:hint="default" w:ascii="Calibri" w:hAnsi="Calibri"/>
          <w:sz w:val="22"/>
          <w:szCs w:val="22"/>
        </w:rPr>
        <w:t>.</w:t>
      </w:r>
    </w:p>
    <w:p w14:paraId="6B47A21C">
      <w:pPr>
        <w:tabs>
          <w:tab w:val="left" w:pos="3090"/>
        </w:tabs>
        <w:jc w:val="both"/>
        <w:rPr>
          <w:rFonts w:ascii="Calibri" w:hAnsi="Calibri" w:cs="Calibri"/>
          <w:bCs/>
          <w:color w:val="000000" w:themeColor="text1"/>
          <w:sz w:val="22"/>
          <w:szCs w:val="22"/>
          <w14:textFill>
            <w14:solidFill>
              <w14:schemeClr w14:val="tx1"/>
            </w14:solidFill>
          </w14:textFill>
        </w:rPr>
      </w:pPr>
    </w:p>
    <w:p w14:paraId="3623039C">
      <w:pPr>
        <w:widowControl w:val="0"/>
        <w:autoSpaceDE w:val="0"/>
        <w:autoSpaceDN w:val="0"/>
        <w:jc w:val="center"/>
        <w:rPr>
          <w:rFonts w:ascii="Calibri" w:hAnsi="Calibri" w:eastAsia="Times New Roman" w:cs="Calibri"/>
          <w:b/>
          <w:bCs w:val="0"/>
          <w:color w:val="000000" w:themeColor="text1"/>
          <w:kern w:val="0"/>
          <w:sz w:val="22"/>
          <w:szCs w:val="22"/>
          <w14:textFill>
            <w14:solidFill>
              <w14:schemeClr w14:val="tx1"/>
            </w14:solidFill>
          </w14:textFill>
          <w14:ligatures w14:val="none"/>
        </w:rPr>
      </w:pPr>
      <w:bookmarkStart w:id="0" w:name="_Hlk208317685"/>
      <w:r>
        <w:rPr>
          <w:rFonts w:ascii="Calibri" w:hAnsi="Calibri" w:eastAsia="Times New Roman" w:cs="Calibri"/>
          <w:b/>
          <w:bCs w:val="0"/>
          <w:color w:val="000000" w:themeColor="text1"/>
          <w:kern w:val="0"/>
          <w:sz w:val="22"/>
          <w:szCs w:val="22"/>
          <w14:textFill>
            <w14:solidFill>
              <w14:schemeClr w14:val="tx1"/>
            </w14:solidFill>
          </w14:textFill>
          <w14:ligatures w14:val="none"/>
        </w:rPr>
        <w:t>GEOPARQUE MUNDIAL VOLCÁN TUNGURAHUA</w:t>
      </w:r>
    </w:p>
    <w:p w14:paraId="784E3FD3">
      <w:pPr>
        <w:widowControl w:val="0"/>
        <w:autoSpaceDE w:val="0"/>
        <w:autoSpaceDN w:val="0"/>
        <w:jc w:val="center"/>
        <w:rPr>
          <w:rFonts w:ascii="Calibri" w:hAnsi="Calibri" w:eastAsia="Times New Roman" w:cs="Calibri"/>
          <w:bCs/>
          <w:color w:val="000000" w:themeColor="text1"/>
          <w:kern w:val="0"/>
          <w:sz w:val="22"/>
          <w:szCs w:val="22"/>
          <w14:textFill>
            <w14:solidFill>
              <w14:schemeClr w14:val="tx1"/>
            </w14:solidFill>
          </w14:textFill>
          <w14:ligatures w14:val="none"/>
        </w:rPr>
      </w:pPr>
    </w:p>
    <w:bookmarkEnd w:id="0"/>
    <w:p w14:paraId="6CF37EC8">
      <w:pPr>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El Geoparque Mundial Volcán Tungurahua, está ubicado en el centro de Ecuador, Sudamérica en la cordillera de los Andes ecuatorianos. Su área geográfica total es de 2.397 km2, agrupa a l</w:t>
      </w:r>
      <w:r>
        <w:rPr>
          <w:rFonts w:hint="default" w:ascii="Calibri" w:hAnsi="Calibri" w:cs="Calibri"/>
          <w:bCs/>
          <w:color w:val="000000" w:themeColor="text1"/>
          <w:sz w:val="22"/>
          <w:szCs w:val="22"/>
          <w:lang w:val="es-ES"/>
          <w14:textFill>
            <w14:solidFill>
              <w14:schemeClr w14:val="tx1"/>
            </w14:solidFill>
          </w14:textFill>
        </w:rPr>
        <w:t>as provincias de</w:t>
      </w:r>
      <w:r>
        <w:rPr>
          <w:rFonts w:ascii="Calibri" w:hAnsi="Calibri" w:cs="Calibri"/>
          <w:bCs/>
          <w:color w:val="000000" w:themeColor="text1"/>
          <w:sz w:val="22"/>
          <w:szCs w:val="22"/>
          <w14:textFill>
            <w14:solidFill>
              <w14:schemeClr w14:val="tx1"/>
            </w14:solidFill>
          </w14:textFill>
        </w:rPr>
        <w:t xml:space="preserve"> Tungurahua y Chimborazo y a los Municip</w:t>
      </w:r>
      <w:r>
        <w:rPr>
          <w:rFonts w:hint="default" w:ascii="Calibri" w:hAnsi="Calibri" w:cs="Calibri"/>
          <w:bCs/>
          <w:color w:val="000000" w:themeColor="text1"/>
          <w:sz w:val="22"/>
          <w:szCs w:val="22"/>
          <w:lang w:val="es-ES"/>
          <w14:textFill>
            <w14:solidFill>
              <w14:schemeClr w14:val="tx1"/>
            </w14:solidFill>
          </w14:textFill>
        </w:rPr>
        <w:t>ios</w:t>
      </w:r>
      <w:r>
        <w:rPr>
          <w:rFonts w:ascii="Calibri" w:hAnsi="Calibri" w:cs="Calibri"/>
          <w:bCs/>
          <w:color w:val="000000" w:themeColor="text1"/>
          <w:sz w:val="22"/>
          <w:szCs w:val="22"/>
          <w14:textFill>
            <w14:solidFill>
              <w14:schemeClr w14:val="tx1"/>
            </w14:solidFill>
          </w14:textFill>
        </w:rPr>
        <w:t xml:space="preserve"> de: Baños de Agua Santa, Patate y Pelileo de la provincia del Tungurahua; y, Penipe y Guano de la Provincia de Chimborazo. Parte de su territorio está formado por tres áreas protegidas: Parque Nacional Llanganates, Parque Nacional Sangay, y la Reserva de Producción de Fauna Chimborazo, las Áreas Protegidas Privadas de Zuñag y la Candelaria, además por Corredor de Conectividad Llanganates Sangay.</w:t>
      </w:r>
    </w:p>
    <w:p w14:paraId="398F3777">
      <w:pPr>
        <w:jc w:val="both"/>
        <w:rPr>
          <w:rFonts w:ascii="Calibri" w:hAnsi="Calibri" w:cs="Calibri"/>
          <w:bCs/>
          <w:color w:val="000000" w:themeColor="text1"/>
          <w:sz w:val="22"/>
          <w:szCs w:val="22"/>
          <w14:textFill>
            <w14:solidFill>
              <w14:schemeClr w14:val="tx1"/>
            </w14:solidFill>
          </w14:textFill>
        </w:rPr>
      </w:pPr>
    </w:p>
    <w:p w14:paraId="4BACD1F4">
      <w:pPr>
        <w:jc w:val="both"/>
        <w:rPr>
          <w:rFonts w:ascii="Calibri" w:hAnsi="Calibri" w:cs="Calibri"/>
          <w:bCs/>
          <w:color w:val="000000" w:themeColor="text1"/>
          <w:sz w:val="22"/>
          <w:szCs w:val="22"/>
          <w14:textFill>
            <w14:solidFill>
              <w14:schemeClr w14:val="tx1"/>
            </w14:solidFill>
          </w14:textFill>
        </w:rPr>
      </w:pPr>
    </w:p>
    <w:p w14:paraId="5453A5AF">
      <w:pPr>
        <w:jc w:val="both"/>
        <w:rPr>
          <w:rFonts w:ascii="Calibri" w:hAnsi="Calibri" w:cs="Calibri"/>
          <w:bCs/>
          <w:color w:val="000000" w:themeColor="text1"/>
          <w:sz w:val="22"/>
          <w:szCs w:val="22"/>
          <w14:textFill>
            <w14:solidFill>
              <w14:schemeClr w14:val="tx1"/>
            </w14:solidFill>
          </w14:textFill>
        </w:rPr>
      </w:pPr>
    </w:p>
    <w:p w14:paraId="4C84DD41">
      <w:pPr>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Las provincias de Tungurahua y Chimborazo están ubicadas en las tierras altas de Ecuador, al sureste de Quito, la capital de Ecuador. Es importante resaltar que su ubicación, en el centro del país, brinda una ubicación estratégica, por lo que no es tan difícil llegar y alejarse, por lo que desde la costa del Pacífico (8 horas) o la Amazonía (1h30), en consecuencia, es una ruta obligada no solo de la costa al altiplano sino también a la Amazonía, lo que le confiere una importante dinámica comercial. </w:t>
      </w:r>
    </w:p>
    <w:p w14:paraId="080C96F8">
      <w:pPr>
        <w:jc w:val="both"/>
        <w:rPr>
          <w:rFonts w:hint="default" w:ascii="Calibri" w:hAnsi="Calibri" w:cs="Calibri"/>
          <w:bCs/>
          <w:color w:val="000000" w:themeColor="text1"/>
          <w:sz w:val="22"/>
          <w:szCs w:val="22"/>
          <w:lang w:val="es-ES"/>
          <w14:textFill>
            <w14:solidFill>
              <w14:schemeClr w14:val="tx1"/>
            </w14:solidFill>
          </w14:textFill>
        </w:rPr>
      </w:pPr>
    </w:p>
    <w:p w14:paraId="225CFBA9">
      <w:pPr>
        <w:jc w:val="both"/>
        <w:rPr>
          <w:rFonts w:ascii="Calibri" w:hAnsi="Calibri" w:eastAsia="Times New Roman" w:cs="Calibri"/>
          <w:bCs/>
          <w:color w:val="000000" w:themeColor="text1"/>
          <w:kern w:val="0"/>
          <w:sz w:val="22"/>
          <w:szCs w:val="22"/>
          <w14:textFill>
            <w14:solidFill>
              <w14:schemeClr w14:val="tx1"/>
            </w14:solidFill>
          </w14:textFill>
          <w14:ligatures w14:val="none"/>
        </w:rPr>
      </w:pPr>
      <w:r>
        <w:rPr>
          <w:rFonts w:hint="default" w:ascii="Calibri" w:hAnsi="Calibri" w:cs="Calibri"/>
          <w:bCs/>
          <w:color w:val="000000" w:themeColor="text1"/>
          <w:sz w:val="22"/>
          <w:szCs w:val="22"/>
          <w:lang w:val="es-ES"/>
          <w14:textFill>
            <w14:solidFill>
              <w14:schemeClr w14:val="tx1"/>
            </w14:solidFill>
          </w14:textFill>
        </w:rPr>
        <w:t>E</w:t>
      </w:r>
      <w:r>
        <w:rPr>
          <w:rFonts w:ascii="Calibri" w:hAnsi="Calibri" w:cs="Calibri"/>
          <w:bCs/>
          <w:color w:val="000000" w:themeColor="text1"/>
          <w:sz w:val="22"/>
          <w:szCs w:val="22"/>
          <w14:textFill>
            <w14:solidFill>
              <w14:schemeClr w14:val="tx1"/>
            </w14:solidFill>
          </w14:textFill>
        </w:rPr>
        <w:t>l mapa del Geoparque</w:t>
      </w:r>
      <w:r>
        <w:rPr>
          <w:rFonts w:hint="default" w:ascii="Calibri" w:hAnsi="Calibri" w:cs="Calibri"/>
          <w:bCs/>
          <w:color w:val="000000" w:themeColor="text1"/>
          <w:sz w:val="22"/>
          <w:szCs w:val="22"/>
          <w:lang w:val="es-ES"/>
          <w14:textFill>
            <w14:solidFill>
              <w14:schemeClr w14:val="tx1"/>
            </w14:solidFill>
          </w14:textFill>
        </w:rPr>
        <w:t xml:space="preserve"> p</w:t>
      </w:r>
      <w:r>
        <w:rPr>
          <w:rFonts w:ascii="Calibri" w:hAnsi="Calibri" w:eastAsia="Times New Roman" w:cs="Calibri"/>
          <w:bCs/>
          <w:color w:val="000000" w:themeColor="text1"/>
          <w:kern w:val="0"/>
          <w:sz w:val="22"/>
          <w:szCs w:val="22"/>
          <w14:textFill>
            <w14:solidFill>
              <w14:schemeClr w14:val="tx1"/>
            </w14:solidFill>
          </w14:textFill>
          <w14:ligatures w14:val="none"/>
        </w:rPr>
        <w:t xml:space="preserve">resenta </w:t>
      </w:r>
      <w:r>
        <w:rPr>
          <w:rFonts w:ascii="Calibri" w:hAnsi="Calibri" w:eastAsia="Times New Roman" w:cs="Calibri"/>
          <w:bCs/>
          <w:color w:val="000000" w:themeColor="text1"/>
          <w:kern w:val="0"/>
          <w:sz w:val="22"/>
          <w:szCs w:val="22"/>
          <w:lang w:val="es-ES"/>
          <w14:textFill>
            <w14:solidFill>
              <w14:schemeClr w14:val="tx1"/>
            </w14:solidFill>
          </w14:textFill>
          <w14:ligatures w14:val="none"/>
        </w:rPr>
        <w:t xml:space="preserve">un alto interés geológico, científico, ambiental, turístico, cultural y de conservación, que por su carácter único y/o representativo, permite el estudio e interpretación del origen y evolución de los grandes dominios geológicos, incluyendo los procesos que los han modelado, climas del pasado y su evolución paleobiológica. </w:t>
      </w:r>
    </w:p>
    <w:p w14:paraId="642F4887">
      <w:pPr>
        <w:jc w:val="both"/>
        <w:rPr>
          <w:rFonts w:ascii="Calibri" w:hAnsi="Calibri" w:cs="Calibri"/>
          <w:bCs/>
          <w:color w:val="000000" w:themeColor="text1"/>
          <w:sz w:val="22"/>
          <w:szCs w:val="22"/>
          <w14:textFill>
            <w14:solidFill>
              <w14:schemeClr w14:val="tx1"/>
            </w14:solidFill>
          </w14:textFill>
        </w:rPr>
      </w:pPr>
    </w:p>
    <w:p w14:paraId="04FE3D7C">
      <w:pPr>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Actualmente se cuenta con un total de </w:t>
      </w:r>
      <w:r>
        <w:rPr>
          <w:rFonts w:ascii="Calibri" w:hAnsi="Calibri" w:cs="Calibri"/>
          <w:bCs/>
          <w:color w:val="000000" w:themeColor="text1"/>
          <w:sz w:val="22"/>
          <w:szCs w:val="22"/>
          <w:u w:val="single"/>
          <w14:textFill>
            <w14:solidFill>
              <w14:schemeClr w14:val="tx1"/>
            </w14:solidFill>
          </w14:textFill>
        </w:rPr>
        <w:t>20 Geositios</w:t>
      </w:r>
      <w:r>
        <w:rPr>
          <w:rFonts w:ascii="Calibri" w:hAnsi="Calibri" w:cs="Calibri"/>
          <w:bCs/>
          <w:color w:val="000000" w:themeColor="text1"/>
          <w:sz w:val="22"/>
          <w:szCs w:val="22"/>
          <w14:textFill>
            <w14:solidFill>
              <w14:schemeClr w14:val="tx1"/>
            </w14:solidFill>
          </w14:textFill>
        </w:rPr>
        <w:t xml:space="preserve"> que representan el Patrimonio Geológico del Geoparque Mundial Volcán Tungurahua. </w:t>
      </w:r>
    </w:p>
    <w:p w14:paraId="28897ABE">
      <w:pPr>
        <w:jc w:val="both"/>
        <w:rPr>
          <w:rFonts w:ascii="Calibri" w:hAnsi="Calibri" w:cs="Calibri"/>
          <w:bCs/>
          <w:color w:val="000000" w:themeColor="text1"/>
          <w:sz w:val="22"/>
          <w:szCs w:val="22"/>
          <w14:textFill>
            <w14:solidFill>
              <w14:schemeClr w14:val="tx1"/>
            </w14:solidFill>
          </w14:textFill>
        </w:rPr>
      </w:pPr>
    </w:p>
    <w:p w14:paraId="35C873E9">
      <w:pPr>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Entre ellos: </w:t>
      </w:r>
    </w:p>
    <w:p w14:paraId="2229C156">
      <w:pPr>
        <w:numPr>
          <w:ilvl w:val="0"/>
          <w:numId w:val="1"/>
        </w:numPr>
        <w:tabs>
          <w:tab w:val="clear" w:pos="420"/>
        </w:tabs>
        <w:ind w:left="420" w:leftChars="0" w:hanging="420" w:firstLineChars="0"/>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Volcán Tungurahua, Cascada Pailón del Diablo, Flujo de lava de Las Juntas, Flujo piroclástico Los Pájaros, Cañón de San Martín, Aguas termales - La Virgen, Aguas termales - El Salado  </w:t>
      </w:r>
      <w:r>
        <w:rPr>
          <w:rFonts w:hint="default" w:ascii="Calibri" w:hAnsi="Calibri" w:cs="Calibri"/>
          <w:bCs/>
          <w:color w:val="000000" w:themeColor="text1"/>
          <w:sz w:val="22"/>
          <w:szCs w:val="22"/>
          <w:lang w:val="es-ES"/>
          <w14:textFill>
            <w14:solidFill>
              <w14:schemeClr w14:val="tx1"/>
            </w14:solidFill>
          </w14:textFill>
        </w:rPr>
        <w:t xml:space="preserve">en el cantón </w:t>
      </w:r>
      <w:r>
        <w:rPr>
          <w:rFonts w:ascii="Calibri" w:hAnsi="Calibri" w:cs="Calibri"/>
          <w:bCs/>
          <w:color w:val="000000" w:themeColor="text1"/>
          <w:sz w:val="22"/>
          <w:szCs w:val="22"/>
          <w14:textFill>
            <w14:solidFill>
              <w14:schemeClr w14:val="tx1"/>
            </w14:solidFill>
          </w14:textFill>
        </w:rPr>
        <w:t>Baños de Agua Santa</w:t>
      </w:r>
      <w:bookmarkStart w:id="1" w:name="_GoBack"/>
      <w:bookmarkEnd w:id="1"/>
    </w:p>
    <w:p w14:paraId="0F058FE2">
      <w:pPr>
        <w:numPr>
          <w:ilvl w:val="0"/>
          <w:numId w:val="1"/>
        </w:numPr>
        <w:tabs>
          <w:tab w:val="clear" w:pos="420"/>
        </w:tabs>
        <w:ind w:left="420" w:leftChars="0" w:hanging="420" w:firstLineChars="0"/>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Aguas termales de Puela, Volcán El Altar, Laguna Amarilla, Cascada el Ojo del Fantasma en el cantón Penipe. </w:t>
      </w:r>
    </w:p>
    <w:p w14:paraId="799D199C">
      <w:pPr>
        <w:numPr>
          <w:ilvl w:val="0"/>
          <w:numId w:val="1"/>
        </w:numPr>
        <w:tabs>
          <w:tab w:val="clear" w:pos="420"/>
        </w:tabs>
        <w:ind w:left="420" w:leftChars="0" w:hanging="420" w:firstLineChars="0"/>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Cascada El Gorila, Macrodeslizamiento El Obraje de San Idelfonso, Volcán Mulmul, Volcán Huisla y Raíces petrificadas Las Caras en el cantón Pelileo.</w:t>
      </w:r>
    </w:p>
    <w:p w14:paraId="461EBCA4">
      <w:pPr>
        <w:numPr>
          <w:ilvl w:val="0"/>
          <w:numId w:val="1"/>
        </w:numPr>
        <w:tabs>
          <w:tab w:val="clear" w:pos="420"/>
        </w:tabs>
        <w:ind w:left="420" w:leftChars="0" w:hanging="420" w:firstLineChars="0"/>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Volcán Chimborazo, Volcán Igualata en Guano. </w:t>
      </w:r>
    </w:p>
    <w:p w14:paraId="7986ABDA">
      <w:pPr>
        <w:numPr>
          <w:ilvl w:val="0"/>
          <w:numId w:val="1"/>
        </w:numPr>
        <w:tabs>
          <w:tab w:val="clear" w:pos="420"/>
        </w:tabs>
        <w:ind w:left="420" w:leftChars="0" w:hanging="420" w:firstLineChars="0"/>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Domo volcánico El Templete, Mirador de Yamate en el cantón Patate </w:t>
      </w:r>
    </w:p>
    <w:p w14:paraId="3E7BD39D">
      <w:pPr>
        <w:jc w:val="both"/>
        <w:rPr>
          <w:rFonts w:ascii="Calibri" w:hAnsi="Calibri" w:cs="Calibri"/>
          <w:bCs/>
          <w:color w:val="000000" w:themeColor="text1"/>
          <w:sz w:val="22"/>
          <w:szCs w:val="22"/>
          <w14:textFill>
            <w14:solidFill>
              <w14:schemeClr w14:val="tx1"/>
            </w14:solidFill>
          </w14:textFill>
        </w:rPr>
      </w:pPr>
    </w:p>
    <w:p w14:paraId="2F720CF8">
      <w:pPr>
        <w:jc w:val="both"/>
        <w:rPr>
          <w:rFonts w:ascii="Calibri" w:hAnsi="Calibri" w:cs="Calibri"/>
          <w:bCs/>
          <w:color w:val="000000" w:themeColor="text1"/>
          <w:sz w:val="22"/>
          <w:szCs w:val="22"/>
          <w14:textFill>
            <w14:solidFill>
              <w14:schemeClr w14:val="tx1"/>
            </w14:solidFill>
          </w14:textFill>
        </w:rPr>
      </w:pPr>
      <w:r>
        <w:rPr>
          <w:rFonts w:ascii="Calibri" w:hAnsi="Calibri" w:cs="Calibri"/>
          <w:bCs/>
          <w:color w:val="000000" w:themeColor="text1"/>
          <w:sz w:val="22"/>
          <w:szCs w:val="22"/>
          <w14:textFill>
            <w14:solidFill>
              <w14:schemeClr w14:val="tx1"/>
            </w14:solidFill>
          </w14:textFill>
        </w:rPr>
        <w:t xml:space="preserve">Ser parte de la Red de Geoparques Mundiales, </w:t>
      </w:r>
      <w:r>
        <w:rPr>
          <w:rFonts w:hint="default" w:ascii="Calibri" w:hAnsi="Calibri" w:cs="Calibri"/>
          <w:bCs/>
          <w:color w:val="000000" w:themeColor="text1"/>
          <w:sz w:val="22"/>
          <w:szCs w:val="22"/>
          <w:lang w:val="es-ES"/>
          <w14:textFill>
            <w14:solidFill>
              <w14:schemeClr w14:val="tx1"/>
            </w14:solidFill>
          </w14:textFill>
        </w:rPr>
        <w:t>representa</w:t>
      </w:r>
      <w:r>
        <w:rPr>
          <w:rFonts w:ascii="Calibri" w:hAnsi="Calibri" w:cs="Calibri"/>
          <w:bCs/>
          <w:color w:val="000000" w:themeColor="text1"/>
          <w:sz w:val="22"/>
          <w:szCs w:val="22"/>
          <w14:textFill>
            <w14:solidFill>
              <w14:schemeClr w14:val="tx1"/>
            </w14:solidFill>
          </w14:textFill>
        </w:rPr>
        <w:t xml:space="preserve"> beneficios tales como: Reconocimiento a nivel internacional de cada territorio como Geoparque mundial, declarado por UNESCO., Participación en Acciones, eventos y demás actividades (nacionales e internacionales) que permitirán fortalecer la imagen,  Marca Turística y presencia de cada territorio perteneciente al GVT., Participar en acciones de investigación científica, para mejorar la calidad de la información que dispone cada territorio e implementar acciones de divulgación que permitan dar a conocer los atractivos turísticos de los participantes en el proyecto. Así como la </w:t>
      </w:r>
      <w:r>
        <w:rPr>
          <w:rFonts w:ascii="Calibri" w:hAnsi="Calibri" w:cs="Calibri"/>
          <w:b/>
          <w:bCs w:val="0"/>
          <w:color w:val="000000" w:themeColor="text1"/>
          <w:sz w:val="22"/>
          <w:szCs w:val="22"/>
          <w14:textFill>
            <w14:solidFill>
              <w14:schemeClr w14:val="tx1"/>
            </w14:solidFill>
          </w14:textFill>
        </w:rPr>
        <w:t>Conservación del Patrimonio geológico del territorio que es parte del Geoparque, su biodiversidad, patrimonio cultural y con las formas de vida de su sociedad</w:t>
      </w:r>
      <w:r>
        <w:rPr>
          <w:rFonts w:hint="default" w:ascii="Calibri" w:hAnsi="Calibri" w:cs="Calibri"/>
          <w:b/>
          <w:bCs w:val="0"/>
          <w:color w:val="000000" w:themeColor="text1"/>
          <w:sz w:val="22"/>
          <w:szCs w:val="22"/>
          <w:lang w:val="es-ES"/>
          <w14:textFill>
            <w14:solidFill>
              <w14:schemeClr w14:val="tx1"/>
            </w14:solidFill>
          </w14:textFill>
        </w:rPr>
        <w:t>,</w:t>
      </w:r>
      <w:r>
        <w:rPr>
          <w:rFonts w:hint="default" w:ascii="Calibri" w:hAnsi="Calibri" w:cs="Calibri"/>
          <w:bCs/>
          <w:color w:val="000000" w:themeColor="text1"/>
          <w:sz w:val="22"/>
          <w:szCs w:val="22"/>
          <w:lang w:val="es-ES"/>
          <w14:textFill>
            <w14:solidFill>
              <w14:schemeClr w14:val="tx1"/>
            </w14:solidFill>
          </w14:textFill>
        </w:rPr>
        <w:t xml:space="preserve"> e</w:t>
      </w:r>
      <w:r>
        <w:rPr>
          <w:rFonts w:ascii="Calibri" w:hAnsi="Calibri" w:cs="Calibri"/>
          <w:bCs/>
          <w:color w:val="000000" w:themeColor="text1"/>
          <w:sz w:val="22"/>
          <w:szCs w:val="22"/>
          <w14:textFill>
            <w14:solidFill>
              <w14:schemeClr w14:val="tx1"/>
            </w14:solidFill>
          </w14:textFill>
        </w:rPr>
        <w:t xml:space="preserve">ntre otros. </w:t>
      </w:r>
    </w:p>
    <w:p w14:paraId="45686541">
      <w:pPr>
        <w:ind w:left="360"/>
        <w:jc w:val="both"/>
        <w:rPr>
          <w:rFonts w:ascii="Calibri" w:hAnsi="Calibri" w:cs="Calibri"/>
          <w:bCs/>
          <w:color w:val="000000" w:themeColor="text1"/>
          <w:sz w:val="22"/>
          <w:szCs w:val="22"/>
          <w14:textFill>
            <w14:solidFill>
              <w14:schemeClr w14:val="tx1"/>
            </w14:solidFill>
          </w14:textFill>
        </w:rPr>
      </w:pPr>
    </w:p>
    <w:p w14:paraId="09033A1B">
      <w:pPr>
        <w:tabs>
          <w:tab w:val="left" w:pos="3090"/>
        </w:tabs>
        <w:jc w:val="both"/>
        <w:rPr>
          <w:rFonts w:ascii="Calibri" w:hAnsi="Calibri" w:cs="Calibri"/>
          <w:sz w:val="22"/>
          <w:szCs w:val="22"/>
        </w:rPr>
      </w:pPr>
      <w:r>
        <w:rPr>
          <w:rFonts w:ascii="Calibri" w:hAnsi="Calibri" w:cs="Calibri"/>
          <w:sz w:val="22"/>
          <w:szCs w:val="22"/>
        </w:rPr>
        <w:t>El prefecto de Tungurahua, Manuel Caizabanda, señaló: “Este título es el resultado de un esfuerzo colectivo que nos compromete aún más a proteger nuestro territorio y a proyectarlo internacionalmente como ejemplo de desarrollo sostenible”.</w:t>
      </w:r>
    </w:p>
    <w:p w14:paraId="1E69059D">
      <w:pPr>
        <w:tabs>
          <w:tab w:val="left" w:pos="3090"/>
        </w:tabs>
        <w:jc w:val="both"/>
        <w:rPr>
          <w:rFonts w:ascii="Calibri" w:hAnsi="Calibri" w:cs="Calibri"/>
          <w:sz w:val="22"/>
          <w:szCs w:val="22"/>
        </w:rPr>
      </w:pPr>
    </w:p>
    <w:p w14:paraId="1FFEAF47">
      <w:pPr>
        <w:tabs>
          <w:tab w:val="left" w:pos="3090"/>
        </w:tabs>
        <w:rPr>
          <w:rFonts w:ascii="Calibri" w:hAnsi="Calibri" w:cs="Calibri"/>
          <w:b/>
          <w:bCs/>
        </w:rPr>
      </w:pPr>
    </w:p>
    <w:p w14:paraId="105F43AE">
      <w:pPr>
        <w:tabs>
          <w:tab w:val="left" w:pos="3090"/>
        </w:tabs>
        <w:jc w:val="both"/>
        <w:rPr>
          <w:rFonts w:hint="default" w:ascii="Calibri" w:hAnsi="Calibri" w:cs="Calibri"/>
          <w:sz w:val="22"/>
          <w:szCs w:val="22"/>
          <w:lang w:val="es-ES"/>
        </w:rPr>
      </w:pPr>
      <w:r>
        <w:rPr>
          <w:rFonts w:hint="default" w:ascii="Calibri" w:hAnsi="Calibri"/>
          <w:sz w:val="22"/>
          <w:szCs w:val="22"/>
        </w:rPr>
        <w:t>Más de 900 asistentes de 50 países participan La 11ª Conferencia Internacional de Geoparques Mundiales UNESCO</w:t>
      </w:r>
      <w:r>
        <w:rPr>
          <w:rFonts w:hint="default" w:ascii="Calibri" w:hAnsi="Calibri"/>
          <w:sz w:val="22"/>
          <w:szCs w:val="22"/>
          <w:lang w:val="es-ES"/>
        </w:rPr>
        <w:t xml:space="preserve"> </w:t>
      </w:r>
      <w:r>
        <w:rPr>
          <w:rFonts w:hint="default" w:ascii="Calibri" w:hAnsi="Calibri"/>
          <w:sz w:val="22"/>
          <w:szCs w:val="22"/>
        </w:rPr>
        <w:t>en e</w:t>
      </w:r>
      <w:r>
        <w:rPr>
          <w:rFonts w:hint="default" w:ascii="Calibri" w:hAnsi="Calibri"/>
          <w:sz w:val="22"/>
          <w:szCs w:val="22"/>
          <w:lang w:val="es-ES"/>
        </w:rPr>
        <w:t>ste</w:t>
      </w:r>
      <w:r>
        <w:rPr>
          <w:rFonts w:hint="default" w:ascii="Calibri" w:hAnsi="Calibri"/>
          <w:sz w:val="22"/>
          <w:szCs w:val="22"/>
        </w:rPr>
        <w:t xml:space="preserve"> encuentro </w:t>
      </w:r>
      <w:r>
        <w:rPr>
          <w:rFonts w:hint="default" w:ascii="Calibri" w:hAnsi="Calibri"/>
          <w:sz w:val="22"/>
          <w:szCs w:val="22"/>
          <w:lang w:val="es-ES"/>
        </w:rPr>
        <w:t xml:space="preserve">clave </w:t>
      </w:r>
      <w:r>
        <w:rPr>
          <w:rFonts w:hint="default" w:ascii="Calibri" w:hAnsi="Calibri"/>
          <w:sz w:val="22"/>
          <w:szCs w:val="22"/>
        </w:rPr>
        <w:t xml:space="preserve">que posiciona a </w:t>
      </w:r>
      <w:r>
        <w:rPr>
          <w:rFonts w:hint="default" w:ascii="Calibri" w:hAnsi="Calibri"/>
          <w:sz w:val="22"/>
          <w:szCs w:val="22"/>
          <w:lang w:val="es-ES"/>
        </w:rPr>
        <w:t xml:space="preserve">Ecuador </w:t>
      </w:r>
      <w:r>
        <w:rPr>
          <w:rFonts w:hint="default" w:ascii="Calibri" w:hAnsi="Calibri"/>
          <w:sz w:val="22"/>
          <w:szCs w:val="22"/>
        </w:rPr>
        <w:t xml:space="preserve">como referente en gestión de patrimonio natural y cultural, con </w:t>
      </w:r>
      <w:r>
        <w:rPr>
          <w:rFonts w:hint="default" w:ascii="Calibri" w:hAnsi="Calibri"/>
          <w:sz w:val="22"/>
          <w:szCs w:val="22"/>
          <w:lang w:val="es-ES"/>
        </w:rPr>
        <w:t>tres Geoparques en su territorio... ¡territorio que todos deben conocer!</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3"/>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E6239"/>
    <w:multiLevelType w:val="singleLevel"/>
    <w:tmpl w:val="6C1E623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D2A"/>
    <w:rsid w:val="00026EDE"/>
    <w:rsid w:val="00045CEA"/>
    <w:rsid w:val="00054070"/>
    <w:rsid w:val="000737CE"/>
    <w:rsid w:val="00095E1B"/>
    <w:rsid w:val="000C2287"/>
    <w:rsid w:val="000D2E20"/>
    <w:rsid w:val="000D34C2"/>
    <w:rsid w:val="00126C77"/>
    <w:rsid w:val="00151558"/>
    <w:rsid w:val="00185225"/>
    <w:rsid w:val="001B4C4B"/>
    <w:rsid w:val="001B4C4F"/>
    <w:rsid w:val="002206CF"/>
    <w:rsid w:val="002534EE"/>
    <w:rsid w:val="002846E0"/>
    <w:rsid w:val="002D2A00"/>
    <w:rsid w:val="002E1F10"/>
    <w:rsid w:val="0036444C"/>
    <w:rsid w:val="003C4DDA"/>
    <w:rsid w:val="003F03CA"/>
    <w:rsid w:val="003F6248"/>
    <w:rsid w:val="00400807"/>
    <w:rsid w:val="0042110D"/>
    <w:rsid w:val="00474340"/>
    <w:rsid w:val="004868FA"/>
    <w:rsid w:val="004D0952"/>
    <w:rsid w:val="004E51D1"/>
    <w:rsid w:val="00502C24"/>
    <w:rsid w:val="00513A4A"/>
    <w:rsid w:val="00554BE2"/>
    <w:rsid w:val="005557ED"/>
    <w:rsid w:val="00595F2D"/>
    <w:rsid w:val="005A428B"/>
    <w:rsid w:val="005C2343"/>
    <w:rsid w:val="0060620C"/>
    <w:rsid w:val="00622C68"/>
    <w:rsid w:val="006236D0"/>
    <w:rsid w:val="006323BC"/>
    <w:rsid w:val="006D3354"/>
    <w:rsid w:val="006D71C5"/>
    <w:rsid w:val="00720449"/>
    <w:rsid w:val="00725CF7"/>
    <w:rsid w:val="007612C5"/>
    <w:rsid w:val="0076745A"/>
    <w:rsid w:val="00771372"/>
    <w:rsid w:val="00783A4C"/>
    <w:rsid w:val="007C54EB"/>
    <w:rsid w:val="007E3397"/>
    <w:rsid w:val="00834B17"/>
    <w:rsid w:val="008361BB"/>
    <w:rsid w:val="008463BC"/>
    <w:rsid w:val="00854724"/>
    <w:rsid w:val="008618B4"/>
    <w:rsid w:val="008A6CF4"/>
    <w:rsid w:val="008F2D61"/>
    <w:rsid w:val="00933CB0"/>
    <w:rsid w:val="0098156A"/>
    <w:rsid w:val="00994F0D"/>
    <w:rsid w:val="009A7AA1"/>
    <w:rsid w:val="00A135C6"/>
    <w:rsid w:val="00A86D24"/>
    <w:rsid w:val="00AA5E3D"/>
    <w:rsid w:val="00AB5F5D"/>
    <w:rsid w:val="00AC1A09"/>
    <w:rsid w:val="00AF4E20"/>
    <w:rsid w:val="00B86EDF"/>
    <w:rsid w:val="00B87053"/>
    <w:rsid w:val="00B91DF8"/>
    <w:rsid w:val="00BA3638"/>
    <w:rsid w:val="00BA4949"/>
    <w:rsid w:val="00BE0103"/>
    <w:rsid w:val="00C92198"/>
    <w:rsid w:val="00CC08A6"/>
    <w:rsid w:val="00CC1C15"/>
    <w:rsid w:val="00CE054E"/>
    <w:rsid w:val="00D000EA"/>
    <w:rsid w:val="00D35B0B"/>
    <w:rsid w:val="00D528BF"/>
    <w:rsid w:val="00DB0972"/>
    <w:rsid w:val="00DC4361"/>
    <w:rsid w:val="00DE620F"/>
    <w:rsid w:val="00E00179"/>
    <w:rsid w:val="00E02AA6"/>
    <w:rsid w:val="00E66239"/>
    <w:rsid w:val="00E701F8"/>
    <w:rsid w:val="00EA42EB"/>
    <w:rsid w:val="00EC1D06"/>
    <w:rsid w:val="00EE6585"/>
    <w:rsid w:val="00F30B87"/>
    <w:rsid w:val="00F35FB6"/>
    <w:rsid w:val="00F37561"/>
    <w:rsid w:val="00F80DDA"/>
    <w:rsid w:val="00F87E2B"/>
    <w:rsid w:val="00F946CA"/>
    <w:rsid w:val="00FD76D1"/>
    <w:rsid w:val="19A651F7"/>
    <w:rsid w:val="48183F9A"/>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header"/>
    <w:basedOn w:val="1"/>
    <w:link w:val="35"/>
    <w:unhideWhenUsed/>
    <w:uiPriority w:val="99"/>
    <w:pPr>
      <w:tabs>
        <w:tab w:val="center" w:pos="4419"/>
        <w:tab w:val="right" w:pos="8838"/>
      </w:tabs>
    </w:pPr>
  </w:style>
  <w:style w:type="paragraph" w:styleId="14">
    <w:name w:val="footer"/>
    <w:basedOn w:val="1"/>
    <w:link w:val="36"/>
    <w:unhideWhenUsed/>
    <w:uiPriority w:val="99"/>
    <w:pPr>
      <w:tabs>
        <w:tab w:val="center" w:pos="4419"/>
        <w:tab w:val="right" w:pos="8838"/>
      </w:tabs>
    </w:pPr>
  </w:style>
  <w:style w:type="paragraph" w:styleId="15">
    <w:name w:val="Subtitle"/>
    <w:basedOn w:val="1"/>
    <w:next w:val="1"/>
    <w:link w:val="27"/>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7">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ar"/>
    <w:basedOn w:val="11"/>
    <w:link w:val="4"/>
    <w:semiHidden/>
    <w:uiPriority w:val="9"/>
    <w:rPr>
      <w:rFonts w:eastAsiaTheme="majorEastAsia" w:cstheme="majorBidi"/>
      <w:color w:val="104862" w:themeColor="accent1" w:themeShade="BF"/>
      <w:sz w:val="28"/>
      <w:szCs w:val="28"/>
    </w:rPr>
  </w:style>
  <w:style w:type="character" w:customStyle="1" w:styleId="20">
    <w:name w:val="Título 4 Car"/>
    <w:basedOn w:val="11"/>
    <w:link w:val="5"/>
    <w:semiHidden/>
    <w:uiPriority w:val="9"/>
    <w:rPr>
      <w:rFonts w:eastAsiaTheme="majorEastAsia" w:cstheme="majorBidi"/>
      <w:i/>
      <w:iCs/>
      <w:color w:val="104862" w:themeColor="accent1" w:themeShade="BF"/>
    </w:rPr>
  </w:style>
  <w:style w:type="character" w:customStyle="1" w:styleId="21">
    <w:name w:val="Título 5 Car"/>
    <w:basedOn w:val="11"/>
    <w:link w:val="6"/>
    <w:semiHidden/>
    <w:uiPriority w:val="9"/>
    <w:rPr>
      <w:rFonts w:eastAsiaTheme="majorEastAsia" w:cstheme="majorBidi"/>
      <w:color w:val="104862" w:themeColor="accent1" w:themeShade="BF"/>
    </w:rPr>
  </w:style>
  <w:style w:type="character" w:customStyle="1" w:styleId="22">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ítulo C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 C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 destacada C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Encabezado Car"/>
    <w:basedOn w:val="11"/>
    <w:link w:val="13"/>
    <w:uiPriority w:val="99"/>
  </w:style>
  <w:style w:type="character" w:customStyle="1" w:styleId="36">
    <w:name w:val="Pie de página Car"/>
    <w:basedOn w:val="11"/>
    <w:link w:val="14"/>
    <w:uiPriority w:val="99"/>
  </w:style>
  <w:style w:type="paragraph" w:styleId="37">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4508</Characters>
  <Lines>37</Lines>
  <Paragraphs>10</Paragraphs>
  <TotalTime>16</TotalTime>
  <ScaleCrop>false</ScaleCrop>
  <LinksUpToDate>false</LinksUpToDate>
  <CharactersWithSpaces>5317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2025-09-08T21:42:00Z</cp:lastPrinted>
  <dcterms:modified xsi:type="dcterms:W3CDTF">2025-09-09T21:22:33Z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FFC0E5529AB24D8E93406748A31EE56C_13</vt:lpwstr>
  </property>
</Properties>
</file>