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1E8D" w14:textId="77777777" w:rsidR="000C2287" w:rsidRDefault="000C2287" w:rsidP="00095E1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06C0C93B" w14:textId="77777777" w:rsidR="008463BC" w:rsidRDefault="008463BC" w:rsidP="00720449">
      <w:pPr>
        <w:pStyle w:val="Sinespaciado"/>
        <w:rPr>
          <w:rFonts w:cs="Calibri"/>
          <w:b/>
          <w:bCs/>
          <w:sz w:val="24"/>
          <w:szCs w:val="24"/>
        </w:rPr>
      </w:pPr>
    </w:p>
    <w:p w14:paraId="3A9B4DD7" w14:textId="77777777" w:rsidR="008463BC" w:rsidRDefault="008463BC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4B7AF150" w14:textId="2CF47E3A" w:rsidR="00E02AA6" w:rsidRPr="006323BC" w:rsidRDefault="00E02AA6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BOLETÍN DE PRENSA</w:t>
      </w:r>
    </w:p>
    <w:p w14:paraId="4613234C" w14:textId="77777777" w:rsidR="008463BC" w:rsidRDefault="008463BC" w:rsidP="006323BC">
      <w:pPr>
        <w:pStyle w:val="Sinespaciado"/>
        <w:rPr>
          <w:rFonts w:cs="Calibri"/>
          <w:b/>
          <w:bCs/>
          <w:sz w:val="24"/>
          <w:szCs w:val="24"/>
        </w:rPr>
      </w:pPr>
    </w:p>
    <w:p w14:paraId="432316F1" w14:textId="328ACC93" w:rsidR="00720449" w:rsidRPr="004F1465" w:rsidRDefault="00E02AA6" w:rsidP="004F1465">
      <w:pPr>
        <w:pStyle w:val="Sinespaciado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HGPT/6</w:t>
      </w:r>
      <w:r w:rsidR="00151558">
        <w:rPr>
          <w:rFonts w:cs="Calibri"/>
          <w:b/>
          <w:bCs/>
          <w:sz w:val="24"/>
          <w:szCs w:val="24"/>
        </w:rPr>
        <w:t>41</w:t>
      </w:r>
      <w:r w:rsidRPr="006323BC">
        <w:rPr>
          <w:rFonts w:cs="Calibri"/>
          <w:b/>
          <w:bCs/>
          <w:sz w:val="24"/>
          <w:szCs w:val="24"/>
        </w:rPr>
        <w:t>/</w:t>
      </w:r>
      <w:r w:rsidR="008F2D61">
        <w:rPr>
          <w:rFonts w:cs="Calibri"/>
          <w:b/>
          <w:bCs/>
          <w:sz w:val="24"/>
          <w:szCs w:val="24"/>
        </w:rPr>
        <w:t>0</w:t>
      </w:r>
      <w:r w:rsidR="005557ED">
        <w:rPr>
          <w:rFonts w:cs="Calibri"/>
          <w:b/>
          <w:bCs/>
          <w:sz w:val="24"/>
          <w:szCs w:val="24"/>
        </w:rPr>
        <w:t>9</w:t>
      </w:r>
      <w:r w:rsidRPr="006323BC">
        <w:rPr>
          <w:rFonts w:cs="Calibri"/>
          <w:b/>
          <w:bCs/>
          <w:sz w:val="24"/>
          <w:szCs w:val="24"/>
        </w:rPr>
        <w:t>/09/2025</w:t>
      </w:r>
    </w:p>
    <w:p w14:paraId="58F5FB21" w14:textId="77777777" w:rsidR="004F1465" w:rsidRPr="00720449" w:rsidRDefault="004F1465" w:rsidP="00720449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1BD9D9CC" w14:textId="51688A34" w:rsidR="004F1465" w:rsidRPr="004F1465" w:rsidRDefault="004F1465" w:rsidP="004F1465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  <w:r w:rsidRPr="004F1465">
        <w:rPr>
          <w:rFonts w:ascii="Calibri" w:hAnsi="Calibri" w:cs="Calibri"/>
          <w:b/>
          <w:bCs/>
        </w:rPr>
        <w:t>TUNGURAHUA Y CHIMBORAZO RECIBEN RECONOCIMIENTO OFICIAL COMO GEOPARQUE MUNDIAL DE LA UNESCO: VOLCÁN TUNGURAHUA</w:t>
      </w:r>
    </w:p>
    <w:p w14:paraId="0F85320A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03DD75B0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4F1465">
        <w:rPr>
          <w:rFonts w:ascii="Calibri" w:hAnsi="Calibri" w:cs="Calibri"/>
          <w:sz w:val="22"/>
          <w:szCs w:val="22"/>
        </w:rPr>
        <w:t>Este miércoles 10 de septiembre de 2025, las provincias de Tungurahua y Chimborazo vivirán un momento histórico al recibir de manera oficial la acreditación como Geoparque Mundial de la UNESCO – Volcán Tungurahua, un reconocimiento internacional que consolida más de una década de trabajo conjunto en torno a la investigación científica, la conservación ambiental, la educación y el desarrollo sostenible.</w:t>
      </w:r>
    </w:p>
    <w:p w14:paraId="61F8A26C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1A7C0000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4F1465">
        <w:rPr>
          <w:rFonts w:ascii="Calibri" w:hAnsi="Calibri" w:cs="Calibri"/>
          <w:sz w:val="22"/>
          <w:szCs w:val="22"/>
        </w:rPr>
        <w:t>El acto de entrega se realizará en la ciudad de Temuco, Chile, durante una cena formal a las 19h30 hora local (17h30 en Ecuador), en la que se otorgará la distinción a los 16 nuevos territorios que pasan a integrar la Red Global de Geoparques de la UNESCO. El evento contará con la presencia de autoridades internacionales, representantes de la UNESCO y delegaciones de diferentes países comprometidos con la promoción de la ciencia, la cultura y la naturaleza.</w:t>
      </w:r>
    </w:p>
    <w:p w14:paraId="2218AFA8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28178797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4F1465">
        <w:rPr>
          <w:rFonts w:ascii="Calibri" w:hAnsi="Calibri" w:cs="Calibri"/>
          <w:sz w:val="22"/>
          <w:szCs w:val="22"/>
        </w:rPr>
        <w:t>Un esfuerzo compartido entre dos provincias</w:t>
      </w:r>
    </w:p>
    <w:p w14:paraId="29B9713E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4A3A12A4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4F1465">
        <w:rPr>
          <w:rFonts w:ascii="Calibri" w:hAnsi="Calibri" w:cs="Calibri"/>
          <w:sz w:val="22"/>
          <w:szCs w:val="22"/>
        </w:rPr>
        <w:t xml:space="preserve">Este logro es fruto del compromiso articulado entre el Gobierno Provincial de Tungurahua, junto a los GAD cantonales de Baños de Agua Santa, Patate y Pelileo, y el Gobierno Provincial de Chimborazo, con sus cantones Guano y </w:t>
      </w:r>
      <w:proofErr w:type="spellStart"/>
      <w:r w:rsidRPr="004F1465">
        <w:rPr>
          <w:rFonts w:ascii="Calibri" w:hAnsi="Calibri" w:cs="Calibri"/>
          <w:sz w:val="22"/>
          <w:szCs w:val="22"/>
        </w:rPr>
        <w:t>Penipe</w:t>
      </w:r>
      <w:proofErr w:type="spellEnd"/>
      <w:r w:rsidRPr="004F1465">
        <w:rPr>
          <w:rFonts w:ascii="Calibri" w:hAnsi="Calibri" w:cs="Calibri"/>
          <w:sz w:val="22"/>
          <w:szCs w:val="22"/>
        </w:rPr>
        <w:t>. Durante más de diez años, estas instituciones, junto a comunidades, universidades, organizaciones sociales y productivas, han trabajado incansablemente para consolidar el Geoparque Volcán Tungurahua como un modelo de gestión participativa y sostenible.</w:t>
      </w:r>
    </w:p>
    <w:p w14:paraId="30EA037B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1C9460B9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4F1465">
        <w:rPr>
          <w:rFonts w:ascii="Calibri" w:hAnsi="Calibri" w:cs="Calibri"/>
          <w:b/>
          <w:bCs/>
          <w:sz w:val="22"/>
          <w:szCs w:val="22"/>
        </w:rPr>
        <w:t>Geoparque Mundial Volcán Tungurahua: un tesoro en el corazón del Ecuador</w:t>
      </w:r>
    </w:p>
    <w:p w14:paraId="034F6749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83A1957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4F1465">
        <w:rPr>
          <w:rFonts w:ascii="Calibri" w:hAnsi="Calibri" w:cs="Calibri"/>
          <w:sz w:val="22"/>
          <w:szCs w:val="22"/>
        </w:rPr>
        <w:t xml:space="preserve">El Geoparque Mundial Volcán Tungurahua se ubica en el centro de Ecuador, en la Cordillera de los Andes, con una extensión de 2.397 km². Su territorio abarca dos provincias (Tungurahua y Chimborazo), seis cantones y forma parte de tres áreas protegidas de importancia mundial: el Parque Nacional Llanganates, el Parque Nacional Sangay y la Reserva de Producción de Fauna Chimborazo, además de las áreas privadas de conservación de </w:t>
      </w:r>
      <w:proofErr w:type="spellStart"/>
      <w:r w:rsidRPr="004F1465">
        <w:rPr>
          <w:rFonts w:ascii="Calibri" w:hAnsi="Calibri" w:cs="Calibri"/>
          <w:sz w:val="22"/>
          <w:szCs w:val="22"/>
        </w:rPr>
        <w:t>Zuñag</w:t>
      </w:r>
      <w:proofErr w:type="spellEnd"/>
      <w:r w:rsidRPr="004F1465">
        <w:rPr>
          <w:rFonts w:ascii="Calibri" w:hAnsi="Calibri" w:cs="Calibri"/>
          <w:sz w:val="22"/>
          <w:szCs w:val="22"/>
        </w:rPr>
        <w:t xml:space="preserve"> y La Candelaria, y el Corredor de Conectividad Llanganates–Sangay.</w:t>
      </w:r>
    </w:p>
    <w:p w14:paraId="07EACC78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55B2C201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4F1465">
        <w:rPr>
          <w:rFonts w:ascii="Calibri" w:hAnsi="Calibri" w:cs="Calibri"/>
          <w:sz w:val="22"/>
          <w:szCs w:val="22"/>
        </w:rPr>
        <w:t>Su ubicación estratégica, en el centro del país, lo convierte en un punto de conexión entre la Costa, la Sierra y la Amazonía. Desde allí se puede acceder al Pacífico en ocho horas o a la Amazonía en apenas una hora y media, lo que lo convierte en un lugar clave para la movilidad, el comercio y el turismo.</w:t>
      </w:r>
    </w:p>
    <w:p w14:paraId="45C972DC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5C483B3C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4F1465">
        <w:rPr>
          <w:rFonts w:ascii="Calibri" w:hAnsi="Calibri" w:cs="Calibri"/>
          <w:b/>
          <w:bCs/>
          <w:sz w:val="22"/>
          <w:szCs w:val="22"/>
        </w:rPr>
        <w:t>Un territorio de riqueza geológica, cultural y turística</w:t>
      </w:r>
    </w:p>
    <w:p w14:paraId="5A155A6A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03A8AC0" w14:textId="77777777" w:rsid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4F1465">
        <w:rPr>
          <w:rFonts w:ascii="Calibri" w:hAnsi="Calibri" w:cs="Calibri"/>
          <w:sz w:val="22"/>
          <w:szCs w:val="22"/>
        </w:rPr>
        <w:t xml:space="preserve">El Geoparque destaca por su alto interés geológico, científico, ambiental, turístico y cultural, permitiendo estudiar e interpretar la evolución de los Andes, los climas del pasado y su biodiversidad. Actualmente, cuenta con 20 </w:t>
      </w:r>
      <w:proofErr w:type="spellStart"/>
      <w:r w:rsidRPr="004F1465">
        <w:rPr>
          <w:rFonts w:ascii="Calibri" w:hAnsi="Calibri" w:cs="Calibri"/>
          <w:sz w:val="22"/>
          <w:szCs w:val="22"/>
        </w:rPr>
        <w:t>geositios</w:t>
      </w:r>
      <w:proofErr w:type="spellEnd"/>
      <w:r w:rsidRPr="004F1465">
        <w:rPr>
          <w:rFonts w:ascii="Calibri" w:hAnsi="Calibri" w:cs="Calibri"/>
          <w:sz w:val="22"/>
          <w:szCs w:val="22"/>
        </w:rPr>
        <w:t xml:space="preserve"> que conforman su patrimonio geológico, entre los que se destacan:</w:t>
      </w:r>
    </w:p>
    <w:p w14:paraId="7F7BE82B" w14:textId="77777777" w:rsid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B77694B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60E98CFD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AD2AA50" w14:textId="77777777" w:rsidR="004F1465" w:rsidRPr="008031B9" w:rsidRDefault="004F1465" w:rsidP="008031B9">
      <w:pPr>
        <w:pStyle w:val="Prrafodelista"/>
        <w:numPr>
          <w:ilvl w:val="0"/>
          <w:numId w:val="3"/>
        </w:num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8031B9">
        <w:rPr>
          <w:rFonts w:ascii="Calibri" w:hAnsi="Calibri" w:cs="Calibri"/>
          <w:sz w:val="22"/>
          <w:szCs w:val="22"/>
        </w:rPr>
        <w:t>En Baños de Agua Santa: Volcán Tungurahua, Cascada Pailón del Diablo, Flujo de lava de Las Juntas, Flujo piroclástico Los Pájaros, Cañón de San Martín, Aguas termales La Virgen y El Salado.</w:t>
      </w:r>
    </w:p>
    <w:p w14:paraId="7EDCB692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454F473" w14:textId="77777777" w:rsidR="004F1465" w:rsidRPr="004F1465" w:rsidRDefault="004F1465" w:rsidP="004F1465">
      <w:pPr>
        <w:pStyle w:val="Prrafodelista"/>
        <w:numPr>
          <w:ilvl w:val="0"/>
          <w:numId w:val="2"/>
        </w:num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4F1465">
        <w:rPr>
          <w:rFonts w:ascii="Calibri" w:hAnsi="Calibri" w:cs="Calibri"/>
          <w:sz w:val="22"/>
          <w:szCs w:val="22"/>
        </w:rPr>
        <w:t xml:space="preserve">En </w:t>
      </w:r>
      <w:proofErr w:type="spellStart"/>
      <w:r w:rsidRPr="004F1465">
        <w:rPr>
          <w:rFonts w:ascii="Calibri" w:hAnsi="Calibri" w:cs="Calibri"/>
          <w:sz w:val="22"/>
          <w:szCs w:val="22"/>
        </w:rPr>
        <w:t>Penipe</w:t>
      </w:r>
      <w:proofErr w:type="spellEnd"/>
      <w:r w:rsidRPr="004F1465">
        <w:rPr>
          <w:rFonts w:ascii="Calibri" w:hAnsi="Calibri" w:cs="Calibri"/>
          <w:sz w:val="22"/>
          <w:szCs w:val="22"/>
        </w:rPr>
        <w:t xml:space="preserve">: Aguas termales de </w:t>
      </w:r>
      <w:proofErr w:type="spellStart"/>
      <w:r w:rsidRPr="004F1465">
        <w:rPr>
          <w:rFonts w:ascii="Calibri" w:hAnsi="Calibri" w:cs="Calibri"/>
          <w:sz w:val="22"/>
          <w:szCs w:val="22"/>
        </w:rPr>
        <w:t>Puela</w:t>
      </w:r>
      <w:proofErr w:type="spellEnd"/>
      <w:r w:rsidRPr="004F1465">
        <w:rPr>
          <w:rFonts w:ascii="Calibri" w:hAnsi="Calibri" w:cs="Calibri"/>
          <w:sz w:val="22"/>
          <w:szCs w:val="22"/>
        </w:rPr>
        <w:t>, Volcán El Altar, Laguna Amarilla, Cascada El Ojo del Fantasma.</w:t>
      </w:r>
    </w:p>
    <w:p w14:paraId="7A32D1E4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0AAB0A3F" w14:textId="77777777" w:rsidR="004F1465" w:rsidRPr="004F1465" w:rsidRDefault="004F1465" w:rsidP="004F1465">
      <w:pPr>
        <w:pStyle w:val="Prrafodelista"/>
        <w:numPr>
          <w:ilvl w:val="0"/>
          <w:numId w:val="2"/>
        </w:num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4F1465">
        <w:rPr>
          <w:rFonts w:ascii="Calibri" w:hAnsi="Calibri" w:cs="Calibri"/>
          <w:sz w:val="22"/>
          <w:szCs w:val="22"/>
        </w:rPr>
        <w:t xml:space="preserve">En Pelileo: Cascada El Gorila, </w:t>
      </w:r>
      <w:proofErr w:type="spellStart"/>
      <w:r w:rsidRPr="004F1465">
        <w:rPr>
          <w:rFonts w:ascii="Calibri" w:hAnsi="Calibri" w:cs="Calibri"/>
          <w:sz w:val="22"/>
          <w:szCs w:val="22"/>
        </w:rPr>
        <w:t>Macrodeslizamiento</w:t>
      </w:r>
      <w:proofErr w:type="spellEnd"/>
      <w:r w:rsidRPr="004F1465">
        <w:rPr>
          <w:rFonts w:ascii="Calibri" w:hAnsi="Calibri" w:cs="Calibri"/>
          <w:sz w:val="22"/>
          <w:szCs w:val="22"/>
        </w:rPr>
        <w:t xml:space="preserve"> El Obraje de San Ildefonso, Volcán </w:t>
      </w:r>
      <w:proofErr w:type="spellStart"/>
      <w:r w:rsidRPr="004F1465">
        <w:rPr>
          <w:rFonts w:ascii="Calibri" w:hAnsi="Calibri" w:cs="Calibri"/>
          <w:sz w:val="22"/>
          <w:szCs w:val="22"/>
        </w:rPr>
        <w:t>Mulmul</w:t>
      </w:r>
      <w:proofErr w:type="spellEnd"/>
      <w:r w:rsidRPr="004F1465">
        <w:rPr>
          <w:rFonts w:ascii="Calibri" w:hAnsi="Calibri" w:cs="Calibri"/>
          <w:sz w:val="22"/>
          <w:szCs w:val="22"/>
        </w:rPr>
        <w:t xml:space="preserve">, Volcán </w:t>
      </w:r>
      <w:proofErr w:type="spellStart"/>
      <w:r w:rsidRPr="004F1465">
        <w:rPr>
          <w:rFonts w:ascii="Calibri" w:hAnsi="Calibri" w:cs="Calibri"/>
          <w:sz w:val="22"/>
          <w:szCs w:val="22"/>
        </w:rPr>
        <w:t>Huisla</w:t>
      </w:r>
      <w:proofErr w:type="spellEnd"/>
      <w:r w:rsidRPr="004F1465">
        <w:rPr>
          <w:rFonts w:ascii="Calibri" w:hAnsi="Calibri" w:cs="Calibri"/>
          <w:sz w:val="22"/>
          <w:szCs w:val="22"/>
        </w:rPr>
        <w:t xml:space="preserve"> y las Raíces petrificadas Las Caras.</w:t>
      </w:r>
    </w:p>
    <w:p w14:paraId="5EB4D473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5A471724" w14:textId="77777777" w:rsidR="004F1465" w:rsidRPr="004F1465" w:rsidRDefault="004F1465" w:rsidP="004F1465">
      <w:pPr>
        <w:pStyle w:val="Prrafodelista"/>
        <w:numPr>
          <w:ilvl w:val="0"/>
          <w:numId w:val="2"/>
        </w:num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4F1465">
        <w:rPr>
          <w:rFonts w:ascii="Calibri" w:hAnsi="Calibri" w:cs="Calibri"/>
          <w:sz w:val="22"/>
          <w:szCs w:val="22"/>
        </w:rPr>
        <w:t xml:space="preserve">En Guano: Volcán Chimborazo y Volcán </w:t>
      </w:r>
      <w:proofErr w:type="spellStart"/>
      <w:r w:rsidRPr="004F1465">
        <w:rPr>
          <w:rFonts w:ascii="Calibri" w:hAnsi="Calibri" w:cs="Calibri"/>
          <w:sz w:val="22"/>
          <w:szCs w:val="22"/>
        </w:rPr>
        <w:t>Igualata</w:t>
      </w:r>
      <w:proofErr w:type="spellEnd"/>
      <w:r w:rsidRPr="004F1465">
        <w:rPr>
          <w:rFonts w:ascii="Calibri" w:hAnsi="Calibri" w:cs="Calibri"/>
          <w:sz w:val="22"/>
          <w:szCs w:val="22"/>
        </w:rPr>
        <w:t>.</w:t>
      </w:r>
    </w:p>
    <w:p w14:paraId="744FB856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315FA98A" w14:textId="77777777" w:rsidR="004F1465" w:rsidRPr="004F1465" w:rsidRDefault="004F1465" w:rsidP="004F1465">
      <w:pPr>
        <w:pStyle w:val="Prrafodelista"/>
        <w:numPr>
          <w:ilvl w:val="0"/>
          <w:numId w:val="2"/>
        </w:num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4F1465">
        <w:rPr>
          <w:rFonts w:ascii="Calibri" w:hAnsi="Calibri" w:cs="Calibri"/>
          <w:sz w:val="22"/>
          <w:szCs w:val="22"/>
        </w:rPr>
        <w:t xml:space="preserve">En Patate: Domo volcánico El Templete y Mirador de </w:t>
      </w:r>
      <w:proofErr w:type="spellStart"/>
      <w:r w:rsidRPr="004F1465">
        <w:rPr>
          <w:rFonts w:ascii="Calibri" w:hAnsi="Calibri" w:cs="Calibri"/>
          <w:sz w:val="22"/>
          <w:szCs w:val="22"/>
        </w:rPr>
        <w:t>Yamate</w:t>
      </w:r>
      <w:proofErr w:type="spellEnd"/>
      <w:r w:rsidRPr="004F1465">
        <w:rPr>
          <w:rFonts w:ascii="Calibri" w:hAnsi="Calibri" w:cs="Calibri"/>
          <w:sz w:val="22"/>
          <w:szCs w:val="22"/>
        </w:rPr>
        <w:t>.</w:t>
      </w:r>
    </w:p>
    <w:p w14:paraId="3DF7D4FF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67B30783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5A34145D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4F1465">
        <w:rPr>
          <w:rFonts w:ascii="Calibri" w:hAnsi="Calibri" w:cs="Calibri"/>
          <w:sz w:val="22"/>
          <w:szCs w:val="22"/>
        </w:rPr>
        <w:t xml:space="preserve">Cada uno de estos </w:t>
      </w:r>
      <w:proofErr w:type="spellStart"/>
      <w:r w:rsidRPr="004F1465">
        <w:rPr>
          <w:rFonts w:ascii="Calibri" w:hAnsi="Calibri" w:cs="Calibri"/>
          <w:sz w:val="22"/>
          <w:szCs w:val="22"/>
        </w:rPr>
        <w:t>geositios</w:t>
      </w:r>
      <w:proofErr w:type="spellEnd"/>
      <w:r w:rsidRPr="004F1465">
        <w:rPr>
          <w:rFonts w:ascii="Calibri" w:hAnsi="Calibri" w:cs="Calibri"/>
          <w:sz w:val="22"/>
          <w:szCs w:val="22"/>
        </w:rPr>
        <w:t xml:space="preserve"> combina atractivos naturales con manifestaciones culturales y turísticas, que reflejan la historia geológica, la riqueza ambiental y las tradiciones de la población andina.</w:t>
      </w:r>
    </w:p>
    <w:p w14:paraId="1AFE2395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22A7BEE8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4F1465">
        <w:rPr>
          <w:rFonts w:ascii="Calibri" w:hAnsi="Calibri" w:cs="Calibri"/>
          <w:b/>
          <w:bCs/>
          <w:sz w:val="22"/>
          <w:szCs w:val="22"/>
        </w:rPr>
        <w:t>Beneficios de pertenecer a la Red Global de Geoparques</w:t>
      </w:r>
    </w:p>
    <w:p w14:paraId="18539177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59004B22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4F1465">
        <w:rPr>
          <w:rFonts w:ascii="Calibri" w:hAnsi="Calibri" w:cs="Calibri"/>
          <w:sz w:val="22"/>
          <w:szCs w:val="22"/>
        </w:rPr>
        <w:t>Ser parte de la Red Mundial de Geoparques de la UNESCO brinda múltiples beneficios, entre ellos:</w:t>
      </w:r>
    </w:p>
    <w:p w14:paraId="7B4F4D6F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2C5AA5B8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4F1465">
        <w:rPr>
          <w:rFonts w:ascii="Calibri" w:hAnsi="Calibri" w:cs="Calibri"/>
          <w:sz w:val="22"/>
          <w:szCs w:val="22"/>
        </w:rPr>
        <w:t>Reconocimiento internacional del territorio como Geoparque.</w:t>
      </w:r>
    </w:p>
    <w:p w14:paraId="4FEF75DF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4F1465">
        <w:rPr>
          <w:rFonts w:ascii="Calibri" w:hAnsi="Calibri" w:cs="Calibri"/>
          <w:sz w:val="22"/>
          <w:szCs w:val="22"/>
        </w:rPr>
        <w:t>Fortalecimiento de la marca turística y proyección global.</w:t>
      </w:r>
    </w:p>
    <w:p w14:paraId="2FFF534D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4F1465">
        <w:rPr>
          <w:rFonts w:ascii="Calibri" w:hAnsi="Calibri" w:cs="Calibri"/>
          <w:sz w:val="22"/>
          <w:szCs w:val="22"/>
        </w:rPr>
        <w:t>Participación en acciones de investigación científica y divulgación de conocimientos.</w:t>
      </w:r>
    </w:p>
    <w:p w14:paraId="2B994058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4F1465">
        <w:rPr>
          <w:rFonts w:ascii="Calibri" w:hAnsi="Calibri" w:cs="Calibri"/>
          <w:sz w:val="22"/>
          <w:szCs w:val="22"/>
        </w:rPr>
        <w:t>Conservación y valorización del patrimonio geológico, cultural y de la biodiversidad.</w:t>
      </w:r>
    </w:p>
    <w:p w14:paraId="6D9EFD7E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4F1465">
        <w:rPr>
          <w:rFonts w:ascii="Calibri" w:hAnsi="Calibri" w:cs="Calibri"/>
          <w:sz w:val="22"/>
          <w:szCs w:val="22"/>
        </w:rPr>
        <w:t>Acceso a una red internacional de cooperación e intercambio de experiencias en gestión sostenible.</w:t>
      </w:r>
    </w:p>
    <w:p w14:paraId="6651EFFF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070FDA0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4F1465">
        <w:rPr>
          <w:rFonts w:ascii="Calibri" w:hAnsi="Calibri" w:cs="Calibri"/>
          <w:b/>
          <w:bCs/>
          <w:sz w:val="22"/>
          <w:szCs w:val="22"/>
        </w:rPr>
        <w:t>Un legado para el Ecuador y el mundo</w:t>
      </w:r>
    </w:p>
    <w:p w14:paraId="39BEC3DC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666C9594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4F1465">
        <w:rPr>
          <w:rFonts w:ascii="Calibri" w:hAnsi="Calibri" w:cs="Calibri"/>
          <w:sz w:val="22"/>
          <w:szCs w:val="22"/>
        </w:rPr>
        <w:t>La acreditación del Geoparque Mundial Volcán Tungurahua representa no solo un reconocimiento a nivel internacional, sino también una oportunidad para promover el turismo responsable, fortalecer la economía local, preservar los ecosistemas y consolidar un modelo de desarrollo que une a las comunidades con su territorio.</w:t>
      </w:r>
    </w:p>
    <w:p w14:paraId="6EB3339E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6BD020F8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4F1465">
        <w:rPr>
          <w:rFonts w:ascii="Calibri" w:hAnsi="Calibri" w:cs="Calibri"/>
          <w:sz w:val="22"/>
          <w:szCs w:val="22"/>
        </w:rPr>
        <w:t>El Ecuador suma así un nuevo espacio de proyección mundial, que convierte a las provincias de Tungurahua y Chimborazo en protagonistas de la gestión sostenible y en guardianes de un patrimonio que pertenece a toda la humanidad.</w:t>
      </w:r>
    </w:p>
    <w:p w14:paraId="2A8DAB94" w14:textId="77777777" w:rsidR="004F1465" w:rsidRPr="004F1465" w:rsidRDefault="004F1465" w:rsidP="004F146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4BE3A18B" w14:textId="7F51B577" w:rsidR="004F1465" w:rsidRPr="00E02AA6" w:rsidRDefault="008031B9" w:rsidP="008031B9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8031B9">
        <w:rPr>
          <w:rFonts w:ascii="Calibri" w:hAnsi="Calibri" w:cs="Calibri"/>
          <w:sz w:val="22"/>
          <w:szCs w:val="22"/>
        </w:rPr>
        <w:t xml:space="preserve">El prefecto de Tungurahua, Manuel </w:t>
      </w:r>
      <w:proofErr w:type="spellStart"/>
      <w:r w:rsidRPr="008031B9">
        <w:rPr>
          <w:rFonts w:ascii="Calibri" w:hAnsi="Calibri" w:cs="Calibri"/>
          <w:sz w:val="22"/>
          <w:szCs w:val="22"/>
        </w:rPr>
        <w:t>Caizabanda</w:t>
      </w:r>
      <w:proofErr w:type="spellEnd"/>
      <w:r w:rsidRPr="008031B9">
        <w:rPr>
          <w:rFonts w:ascii="Calibri" w:hAnsi="Calibri" w:cs="Calibri"/>
          <w:sz w:val="22"/>
          <w:szCs w:val="22"/>
        </w:rPr>
        <w:t xml:space="preserve">, </w:t>
      </w:r>
      <w:proofErr w:type="spellStart"/>
      <w:proofErr w:type="gramStart"/>
      <w:r w:rsidRPr="008031B9">
        <w:rPr>
          <w:rFonts w:ascii="Calibri" w:hAnsi="Calibri" w:cs="Calibri"/>
          <w:sz w:val="22"/>
          <w:szCs w:val="22"/>
        </w:rPr>
        <w:t>señaló:“</w:t>
      </w:r>
      <w:proofErr w:type="gramEnd"/>
      <w:r w:rsidRPr="008031B9">
        <w:rPr>
          <w:rFonts w:ascii="Calibri" w:hAnsi="Calibri" w:cs="Calibri"/>
          <w:sz w:val="22"/>
          <w:szCs w:val="22"/>
        </w:rPr>
        <w:t>Este</w:t>
      </w:r>
      <w:proofErr w:type="spellEnd"/>
      <w:r w:rsidRPr="008031B9">
        <w:rPr>
          <w:rFonts w:ascii="Calibri" w:hAnsi="Calibri" w:cs="Calibri"/>
          <w:sz w:val="22"/>
          <w:szCs w:val="22"/>
        </w:rPr>
        <w:t xml:space="preserve"> título es el resultado de un esfuerzo colectivo que nos compromete aún más a proteger nuestro territorio y a proyectarlo internacionalmente como ejemplo de desarrollo sostenible”.</w:t>
      </w:r>
    </w:p>
    <w:sectPr w:rsidR="004F1465" w:rsidRPr="00E02AA6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226A9" w14:textId="77777777" w:rsidR="007C00B5" w:rsidRDefault="007C00B5" w:rsidP="008361BB">
      <w:r>
        <w:separator/>
      </w:r>
    </w:p>
  </w:endnote>
  <w:endnote w:type="continuationSeparator" w:id="0">
    <w:p w14:paraId="2C6D5483" w14:textId="77777777" w:rsidR="007C00B5" w:rsidRDefault="007C00B5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2BEEC" w14:textId="77777777" w:rsidR="007C00B5" w:rsidRDefault="007C00B5" w:rsidP="008361BB">
      <w:r>
        <w:separator/>
      </w:r>
    </w:p>
  </w:footnote>
  <w:footnote w:type="continuationSeparator" w:id="0">
    <w:p w14:paraId="6DFB3E38" w14:textId="77777777" w:rsidR="007C00B5" w:rsidRDefault="007C00B5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089D"/>
    <w:multiLevelType w:val="hybridMultilevel"/>
    <w:tmpl w:val="C44C47B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E3A3F"/>
    <w:multiLevelType w:val="hybridMultilevel"/>
    <w:tmpl w:val="7CB22F0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2"/>
  </w:num>
  <w:num w:numId="2" w16cid:durableId="176241027">
    <w:abstractNumId w:val="0"/>
  </w:num>
  <w:num w:numId="3" w16cid:durableId="272247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26EDE"/>
    <w:rsid w:val="00045CEA"/>
    <w:rsid w:val="00054070"/>
    <w:rsid w:val="000737CE"/>
    <w:rsid w:val="00095E1B"/>
    <w:rsid w:val="000C2287"/>
    <w:rsid w:val="000D2E20"/>
    <w:rsid w:val="000D34C2"/>
    <w:rsid w:val="00126C77"/>
    <w:rsid w:val="00151558"/>
    <w:rsid w:val="001B4C4B"/>
    <w:rsid w:val="001B4C4F"/>
    <w:rsid w:val="002206CF"/>
    <w:rsid w:val="002534EE"/>
    <w:rsid w:val="002846E0"/>
    <w:rsid w:val="002D2A00"/>
    <w:rsid w:val="002E1F10"/>
    <w:rsid w:val="0036444C"/>
    <w:rsid w:val="003C4DDA"/>
    <w:rsid w:val="003F03CA"/>
    <w:rsid w:val="003F6248"/>
    <w:rsid w:val="00400807"/>
    <w:rsid w:val="0042110D"/>
    <w:rsid w:val="00474340"/>
    <w:rsid w:val="004868FA"/>
    <w:rsid w:val="004D0952"/>
    <w:rsid w:val="004E51D1"/>
    <w:rsid w:val="004F1465"/>
    <w:rsid w:val="00502C24"/>
    <w:rsid w:val="00513A4A"/>
    <w:rsid w:val="00554BE2"/>
    <w:rsid w:val="005557ED"/>
    <w:rsid w:val="00595F2D"/>
    <w:rsid w:val="005A428B"/>
    <w:rsid w:val="005C2343"/>
    <w:rsid w:val="00602480"/>
    <w:rsid w:val="0060620C"/>
    <w:rsid w:val="00622C68"/>
    <w:rsid w:val="006236D0"/>
    <w:rsid w:val="006323BC"/>
    <w:rsid w:val="006D3354"/>
    <w:rsid w:val="006D71C5"/>
    <w:rsid w:val="00720449"/>
    <w:rsid w:val="00725CF7"/>
    <w:rsid w:val="007612C5"/>
    <w:rsid w:val="0076745A"/>
    <w:rsid w:val="00771372"/>
    <w:rsid w:val="00783A4C"/>
    <w:rsid w:val="007C00B5"/>
    <w:rsid w:val="007C54EB"/>
    <w:rsid w:val="007E3397"/>
    <w:rsid w:val="008031B9"/>
    <w:rsid w:val="00834B17"/>
    <w:rsid w:val="008361BB"/>
    <w:rsid w:val="008463BC"/>
    <w:rsid w:val="00854724"/>
    <w:rsid w:val="008618B4"/>
    <w:rsid w:val="008A6CF4"/>
    <w:rsid w:val="008F2D61"/>
    <w:rsid w:val="00933CB0"/>
    <w:rsid w:val="0098156A"/>
    <w:rsid w:val="009A7AA1"/>
    <w:rsid w:val="00A135C6"/>
    <w:rsid w:val="00A86D24"/>
    <w:rsid w:val="00AA5E3D"/>
    <w:rsid w:val="00AB5F5D"/>
    <w:rsid w:val="00AF4E20"/>
    <w:rsid w:val="00B86EDF"/>
    <w:rsid w:val="00BA3638"/>
    <w:rsid w:val="00BA4949"/>
    <w:rsid w:val="00BE0103"/>
    <w:rsid w:val="00C92198"/>
    <w:rsid w:val="00CC08A6"/>
    <w:rsid w:val="00CC1C15"/>
    <w:rsid w:val="00CC7233"/>
    <w:rsid w:val="00CE054E"/>
    <w:rsid w:val="00D000EA"/>
    <w:rsid w:val="00D528BF"/>
    <w:rsid w:val="00DC4361"/>
    <w:rsid w:val="00DE620F"/>
    <w:rsid w:val="00E00179"/>
    <w:rsid w:val="00E02AA6"/>
    <w:rsid w:val="00E66239"/>
    <w:rsid w:val="00E701F8"/>
    <w:rsid w:val="00EA42EB"/>
    <w:rsid w:val="00EE6585"/>
    <w:rsid w:val="00F30B87"/>
    <w:rsid w:val="00F35FB6"/>
    <w:rsid w:val="00F37561"/>
    <w:rsid w:val="00F80DDA"/>
    <w:rsid w:val="00F87E2B"/>
    <w:rsid w:val="00F9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758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35</cp:revision>
  <cp:lastPrinted>2025-09-08T21:42:00Z</cp:lastPrinted>
  <dcterms:created xsi:type="dcterms:W3CDTF">2025-05-09T13:30:00Z</dcterms:created>
  <dcterms:modified xsi:type="dcterms:W3CDTF">2025-09-09T20:13:00Z</dcterms:modified>
</cp:coreProperties>
</file>