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0C93B" w14:textId="77777777" w:rsidR="008463BC" w:rsidRDefault="008463BC" w:rsidP="00720449">
      <w:pPr>
        <w:pStyle w:val="Sinespaciado"/>
        <w:rPr>
          <w:rFonts w:cs="Calibri"/>
          <w:b/>
          <w:bCs/>
          <w:sz w:val="24"/>
          <w:szCs w:val="24"/>
        </w:rPr>
      </w:pPr>
    </w:p>
    <w:p w14:paraId="3A9B4DD7" w14:textId="77777777" w:rsidR="008463BC" w:rsidRDefault="008463BC" w:rsidP="006323BC">
      <w:pPr>
        <w:pStyle w:val="Sinespaciado"/>
        <w:jc w:val="center"/>
        <w:rPr>
          <w:rFonts w:cs="Calibri"/>
          <w:b/>
          <w:bCs/>
          <w:sz w:val="24"/>
          <w:szCs w:val="24"/>
        </w:rPr>
      </w:pPr>
    </w:p>
    <w:p w14:paraId="16BCE9E8" w14:textId="77777777" w:rsidR="00A95997" w:rsidRDefault="00A95997" w:rsidP="00724807">
      <w:pPr>
        <w:pStyle w:val="Sinespaciado"/>
        <w:jc w:val="center"/>
        <w:rPr>
          <w:rFonts w:cs="Calibri"/>
          <w:b/>
          <w:bCs/>
          <w:sz w:val="24"/>
          <w:szCs w:val="24"/>
        </w:rPr>
      </w:pPr>
    </w:p>
    <w:p w14:paraId="3332F014" w14:textId="77777777" w:rsidR="00A95997" w:rsidRDefault="00A95997" w:rsidP="00724807">
      <w:pPr>
        <w:pStyle w:val="Sinespaciado"/>
        <w:jc w:val="center"/>
        <w:rPr>
          <w:rFonts w:cs="Calibri"/>
          <w:b/>
          <w:bCs/>
          <w:sz w:val="24"/>
          <w:szCs w:val="24"/>
        </w:rPr>
      </w:pPr>
    </w:p>
    <w:p w14:paraId="4B2BBF3D" w14:textId="68662F56" w:rsidR="00724807" w:rsidRDefault="00E02AA6" w:rsidP="00724807">
      <w:pPr>
        <w:pStyle w:val="Sinespaciado"/>
        <w:jc w:val="center"/>
        <w:rPr>
          <w:rFonts w:cs="Calibri"/>
          <w:b/>
          <w:bCs/>
          <w:sz w:val="24"/>
          <w:szCs w:val="24"/>
        </w:rPr>
      </w:pPr>
      <w:r w:rsidRPr="006323BC">
        <w:rPr>
          <w:rFonts w:cs="Calibri"/>
          <w:b/>
          <w:bCs/>
          <w:sz w:val="24"/>
          <w:szCs w:val="24"/>
        </w:rPr>
        <w:t>BOLETÍN DE PRENSA</w:t>
      </w:r>
    </w:p>
    <w:p w14:paraId="2C041D70" w14:textId="77777777" w:rsidR="00A95997" w:rsidRDefault="00A95997" w:rsidP="00724807">
      <w:pPr>
        <w:pStyle w:val="Sinespaciado"/>
        <w:rPr>
          <w:rFonts w:cs="Calibri"/>
          <w:b/>
          <w:bCs/>
          <w:sz w:val="24"/>
          <w:szCs w:val="24"/>
        </w:rPr>
      </w:pPr>
    </w:p>
    <w:p w14:paraId="508C9DCA" w14:textId="78749850" w:rsidR="008463BC" w:rsidRPr="003301E3" w:rsidRDefault="00E02AA6" w:rsidP="00724807">
      <w:pPr>
        <w:pStyle w:val="Sinespaciado"/>
        <w:rPr>
          <w:rFonts w:cs="Calibri"/>
          <w:b/>
          <w:bCs/>
          <w:sz w:val="24"/>
          <w:szCs w:val="24"/>
        </w:rPr>
      </w:pPr>
      <w:r w:rsidRPr="006323BC">
        <w:rPr>
          <w:rFonts w:cs="Calibri"/>
          <w:b/>
          <w:bCs/>
          <w:sz w:val="24"/>
          <w:szCs w:val="24"/>
        </w:rPr>
        <w:t>HGPT/6</w:t>
      </w:r>
      <w:r w:rsidR="00F048D2">
        <w:rPr>
          <w:rFonts w:cs="Calibri"/>
          <w:b/>
          <w:bCs/>
          <w:sz w:val="24"/>
          <w:szCs w:val="24"/>
        </w:rPr>
        <w:t>52</w:t>
      </w:r>
      <w:r w:rsidRPr="006323BC">
        <w:rPr>
          <w:rFonts w:cs="Calibri"/>
          <w:b/>
          <w:bCs/>
          <w:sz w:val="24"/>
          <w:szCs w:val="24"/>
        </w:rPr>
        <w:t>/</w:t>
      </w:r>
      <w:r w:rsidR="00C553FB">
        <w:rPr>
          <w:rFonts w:cs="Calibri"/>
          <w:b/>
          <w:bCs/>
          <w:sz w:val="24"/>
          <w:szCs w:val="24"/>
        </w:rPr>
        <w:t>10</w:t>
      </w:r>
      <w:r w:rsidRPr="006323BC">
        <w:rPr>
          <w:rFonts w:cs="Calibri"/>
          <w:b/>
          <w:bCs/>
          <w:sz w:val="24"/>
          <w:szCs w:val="24"/>
        </w:rPr>
        <w:t>/09/2025</w:t>
      </w:r>
    </w:p>
    <w:p w14:paraId="7BD988FA" w14:textId="77777777" w:rsidR="008335F7" w:rsidRDefault="008335F7" w:rsidP="003301E3">
      <w:pPr>
        <w:tabs>
          <w:tab w:val="left" w:pos="3090"/>
        </w:tabs>
        <w:jc w:val="both"/>
        <w:rPr>
          <w:rFonts w:ascii="Calibri" w:hAnsi="Calibri" w:cs="Calibri"/>
          <w:sz w:val="22"/>
          <w:szCs w:val="22"/>
        </w:rPr>
      </w:pPr>
    </w:p>
    <w:p w14:paraId="485DA511" w14:textId="77777777" w:rsidR="008335F7" w:rsidRDefault="008335F7" w:rsidP="003301E3">
      <w:pPr>
        <w:tabs>
          <w:tab w:val="left" w:pos="3090"/>
        </w:tabs>
        <w:jc w:val="both"/>
        <w:rPr>
          <w:rFonts w:ascii="Calibri" w:hAnsi="Calibri" w:cs="Calibri"/>
          <w:sz w:val="22"/>
          <w:szCs w:val="22"/>
        </w:rPr>
      </w:pPr>
    </w:p>
    <w:p w14:paraId="61E25413" w14:textId="77777777" w:rsidR="00A95997" w:rsidRDefault="00A95997" w:rsidP="00A95997">
      <w:pPr>
        <w:tabs>
          <w:tab w:val="left" w:pos="3090"/>
        </w:tabs>
        <w:jc w:val="center"/>
        <w:rPr>
          <w:rFonts w:ascii="Calibri" w:hAnsi="Calibri" w:cs="Calibri"/>
          <w:b/>
          <w:bCs/>
        </w:rPr>
      </w:pPr>
      <w:r>
        <w:rPr>
          <w:rFonts w:ascii="Calibri" w:hAnsi="Calibri" w:cs="Calibri"/>
          <w:b/>
          <w:bCs/>
        </w:rPr>
        <w:t>SE FORTALECE AL SECTOR TURÍSTICO CON EL PROGRAMA DE CAPACITACIÓN TURÍSTICA 2025</w:t>
      </w:r>
    </w:p>
    <w:p w14:paraId="42C04368" w14:textId="77777777" w:rsidR="00A95997" w:rsidRDefault="00A95997" w:rsidP="00A95997">
      <w:pPr>
        <w:tabs>
          <w:tab w:val="left" w:pos="3090"/>
        </w:tabs>
        <w:jc w:val="both"/>
        <w:rPr>
          <w:rFonts w:ascii="Calibri" w:hAnsi="Calibri" w:cs="Calibri"/>
          <w:sz w:val="22"/>
          <w:szCs w:val="22"/>
        </w:rPr>
      </w:pPr>
    </w:p>
    <w:p w14:paraId="64E6B2D6" w14:textId="77777777" w:rsidR="00A95997" w:rsidRDefault="00A95997" w:rsidP="00A95997">
      <w:pPr>
        <w:tabs>
          <w:tab w:val="left" w:pos="3090"/>
        </w:tabs>
        <w:jc w:val="both"/>
        <w:rPr>
          <w:rFonts w:ascii="Calibri" w:hAnsi="Calibri" w:cs="Calibri"/>
          <w:sz w:val="22"/>
          <w:szCs w:val="22"/>
        </w:rPr>
      </w:pPr>
      <w:r>
        <w:rPr>
          <w:rFonts w:ascii="Calibri" w:hAnsi="Calibri" w:cs="Calibri"/>
          <w:sz w:val="22"/>
          <w:szCs w:val="22"/>
        </w:rPr>
        <w:t>El Honorable Gobierno Provincial de Tungurahua, en el marco de la Estrategia de Turismo de Tungurahua y bajo la Línea Estratégica de Formación y Capacitación Turística, impulsa la actualización de conocimientos y el perfeccionamiento profesional de quienes forman parte del sector turístico de la provincia.</w:t>
      </w:r>
    </w:p>
    <w:p w14:paraId="0167B594" w14:textId="77777777" w:rsidR="00A95997" w:rsidRDefault="00A95997" w:rsidP="00A95997">
      <w:pPr>
        <w:tabs>
          <w:tab w:val="left" w:pos="3090"/>
        </w:tabs>
        <w:jc w:val="both"/>
        <w:rPr>
          <w:rFonts w:ascii="Calibri" w:hAnsi="Calibri" w:cs="Calibri"/>
          <w:sz w:val="22"/>
          <w:szCs w:val="22"/>
        </w:rPr>
      </w:pPr>
    </w:p>
    <w:p w14:paraId="02ADAF95" w14:textId="77777777" w:rsidR="00A95997" w:rsidRDefault="00A95997" w:rsidP="00A95997">
      <w:pPr>
        <w:tabs>
          <w:tab w:val="left" w:pos="3090"/>
        </w:tabs>
        <w:jc w:val="both"/>
        <w:rPr>
          <w:rFonts w:ascii="Calibri" w:hAnsi="Calibri" w:cs="Calibri"/>
          <w:sz w:val="22"/>
          <w:szCs w:val="22"/>
        </w:rPr>
      </w:pPr>
      <w:r>
        <w:rPr>
          <w:rFonts w:ascii="Calibri" w:hAnsi="Calibri" w:cs="Calibri"/>
          <w:sz w:val="22"/>
          <w:szCs w:val="22"/>
        </w:rPr>
        <w:t>Con este propósito se desarrolla el “Programa de Capacitación Turística 2025”, una iniciativa que busca fortalecer las capacidades técnicas de los prestadores de servicios turísticos, brindándoles herramientas innovadoras que les permitan competir eficazmente en el mercado nacional y proyectar sus servicios hacia estándares internacionales de calidad.</w:t>
      </w:r>
    </w:p>
    <w:p w14:paraId="5C359F2D" w14:textId="77777777" w:rsidR="00A95997" w:rsidRDefault="00A95997" w:rsidP="00A95997">
      <w:pPr>
        <w:tabs>
          <w:tab w:val="left" w:pos="3090"/>
        </w:tabs>
        <w:jc w:val="both"/>
        <w:rPr>
          <w:rFonts w:ascii="Calibri" w:hAnsi="Calibri" w:cs="Calibri"/>
          <w:sz w:val="22"/>
          <w:szCs w:val="22"/>
        </w:rPr>
      </w:pPr>
    </w:p>
    <w:p w14:paraId="10286198" w14:textId="77777777" w:rsidR="00A95997" w:rsidRDefault="00A95997" w:rsidP="00A95997">
      <w:pPr>
        <w:tabs>
          <w:tab w:val="left" w:pos="3090"/>
        </w:tabs>
        <w:jc w:val="both"/>
        <w:rPr>
          <w:rFonts w:ascii="Calibri" w:hAnsi="Calibri" w:cs="Calibri"/>
          <w:sz w:val="22"/>
          <w:szCs w:val="22"/>
        </w:rPr>
      </w:pPr>
      <w:r>
        <w:rPr>
          <w:rFonts w:ascii="Calibri" w:hAnsi="Calibri" w:cs="Calibri"/>
          <w:sz w:val="22"/>
          <w:szCs w:val="22"/>
        </w:rPr>
        <w:t>Se realizará el taller “Digitalización y Tecnología al servicio de los Destinos Turísticos Inteligentes (DTI)”, espacio de aprendizaje que permitirá a los participantes comprender y aplicar soluciones digitales para modernizar la oferta turística, mejorar la experiencia del visitante e ir posicionando a Tungurahua como un referente en innovación y sostenibilidad turística.</w:t>
      </w:r>
    </w:p>
    <w:p w14:paraId="7834C015" w14:textId="77777777" w:rsidR="00A95997" w:rsidRDefault="00A95997" w:rsidP="00A95997">
      <w:pPr>
        <w:tabs>
          <w:tab w:val="left" w:pos="3090"/>
        </w:tabs>
        <w:jc w:val="both"/>
        <w:rPr>
          <w:rFonts w:ascii="Calibri" w:hAnsi="Calibri" w:cs="Calibri"/>
          <w:sz w:val="22"/>
          <w:szCs w:val="22"/>
        </w:rPr>
      </w:pPr>
    </w:p>
    <w:p w14:paraId="1AB9EADB" w14:textId="77777777" w:rsidR="00A95997" w:rsidRDefault="00A95997" w:rsidP="00A95997">
      <w:pPr>
        <w:tabs>
          <w:tab w:val="left" w:pos="3090"/>
        </w:tabs>
        <w:jc w:val="both"/>
        <w:rPr>
          <w:rFonts w:ascii="Calibri" w:hAnsi="Calibri" w:cs="Calibri"/>
          <w:sz w:val="22"/>
          <w:szCs w:val="22"/>
        </w:rPr>
      </w:pPr>
      <w:r>
        <w:rPr>
          <w:rFonts w:ascii="Calibri" w:hAnsi="Calibri" w:cs="Calibri"/>
          <w:sz w:val="22"/>
          <w:szCs w:val="22"/>
        </w:rPr>
        <w:t>La agenda contempla jornadas de formación en distintos cantones de la provincia, con el fin de garantizar el acceso inclusivo a prestadores de servicios turísticos:</w:t>
      </w:r>
    </w:p>
    <w:p w14:paraId="69738589" w14:textId="77777777" w:rsidR="00A95997" w:rsidRDefault="00A95997" w:rsidP="00A95997">
      <w:pPr>
        <w:tabs>
          <w:tab w:val="left" w:pos="3090"/>
        </w:tabs>
        <w:jc w:val="both"/>
        <w:rPr>
          <w:rFonts w:ascii="Calibri" w:hAnsi="Calibri" w:cs="Calibri"/>
          <w:sz w:val="22"/>
          <w:szCs w:val="22"/>
        </w:rPr>
      </w:pPr>
    </w:p>
    <w:p w14:paraId="0FD6B888" w14:textId="77777777" w:rsidR="00A95997" w:rsidRDefault="00A95997" w:rsidP="00A95997">
      <w:pPr>
        <w:pStyle w:val="Prrafodelista"/>
        <w:numPr>
          <w:ilvl w:val="0"/>
          <w:numId w:val="5"/>
        </w:numPr>
        <w:tabs>
          <w:tab w:val="left" w:pos="3090"/>
        </w:tabs>
        <w:jc w:val="both"/>
        <w:rPr>
          <w:rFonts w:ascii="Calibri" w:hAnsi="Calibri" w:cs="Calibri"/>
          <w:sz w:val="22"/>
          <w:szCs w:val="22"/>
        </w:rPr>
      </w:pPr>
      <w:r>
        <w:rPr>
          <w:rFonts w:ascii="Calibri" w:hAnsi="Calibri" w:cs="Calibri"/>
          <w:sz w:val="22"/>
          <w:szCs w:val="22"/>
        </w:rPr>
        <w:t>Baños de Agua Santa: martes 16 de septiembre de 2025, de 15h00 a 17h00, en el Punto Digital Gratuito Mega Video de Baños.</w:t>
      </w:r>
    </w:p>
    <w:p w14:paraId="3B71F221" w14:textId="77777777" w:rsidR="00A95997" w:rsidRDefault="00A95997" w:rsidP="00A95997">
      <w:pPr>
        <w:tabs>
          <w:tab w:val="left" w:pos="3090"/>
        </w:tabs>
        <w:jc w:val="both"/>
        <w:rPr>
          <w:rFonts w:ascii="Calibri" w:hAnsi="Calibri" w:cs="Calibri"/>
          <w:sz w:val="22"/>
          <w:szCs w:val="22"/>
        </w:rPr>
      </w:pPr>
    </w:p>
    <w:p w14:paraId="1D62A2B9" w14:textId="77777777" w:rsidR="00A95997" w:rsidRDefault="00A95997" w:rsidP="00A95997">
      <w:pPr>
        <w:pStyle w:val="Prrafodelista"/>
        <w:numPr>
          <w:ilvl w:val="0"/>
          <w:numId w:val="5"/>
        </w:numPr>
        <w:tabs>
          <w:tab w:val="left" w:pos="3090"/>
        </w:tabs>
        <w:jc w:val="both"/>
        <w:rPr>
          <w:rFonts w:ascii="Calibri" w:hAnsi="Calibri" w:cs="Calibri"/>
          <w:sz w:val="22"/>
          <w:szCs w:val="22"/>
        </w:rPr>
      </w:pPr>
      <w:r>
        <w:rPr>
          <w:rFonts w:ascii="Calibri" w:hAnsi="Calibri" w:cs="Calibri"/>
          <w:sz w:val="22"/>
          <w:szCs w:val="22"/>
        </w:rPr>
        <w:t>Ambato: jueves 18 de septiembre de 2025, de 15h00 a 17h00, en la Biblioteca Provincial.</w:t>
      </w:r>
    </w:p>
    <w:p w14:paraId="6C0958AA" w14:textId="77777777" w:rsidR="00A95997" w:rsidRDefault="00A95997" w:rsidP="00A95997">
      <w:pPr>
        <w:tabs>
          <w:tab w:val="left" w:pos="3090"/>
        </w:tabs>
        <w:jc w:val="both"/>
        <w:rPr>
          <w:rFonts w:ascii="Calibri" w:hAnsi="Calibri" w:cs="Calibri"/>
          <w:sz w:val="22"/>
          <w:szCs w:val="22"/>
        </w:rPr>
      </w:pPr>
    </w:p>
    <w:p w14:paraId="3D9B5A35" w14:textId="77777777" w:rsidR="00A95997" w:rsidRDefault="00A95997" w:rsidP="00A95997">
      <w:pPr>
        <w:pStyle w:val="Prrafodelista"/>
        <w:numPr>
          <w:ilvl w:val="0"/>
          <w:numId w:val="5"/>
        </w:numPr>
        <w:tabs>
          <w:tab w:val="left" w:pos="3090"/>
        </w:tabs>
        <w:jc w:val="both"/>
        <w:rPr>
          <w:rFonts w:ascii="Calibri" w:hAnsi="Calibri" w:cs="Calibri"/>
          <w:sz w:val="22"/>
          <w:szCs w:val="22"/>
        </w:rPr>
      </w:pPr>
      <w:r>
        <w:rPr>
          <w:rFonts w:ascii="Calibri" w:hAnsi="Calibri" w:cs="Calibri"/>
          <w:sz w:val="22"/>
          <w:szCs w:val="22"/>
        </w:rPr>
        <w:t>Cevallos: miércoles 15 de octubre de 2025, de 15h00 a 17h00, en el Infocentro.</w:t>
      </w:r>
    </w:p>
    <w:p w14:paraId="0BE08530" w14:textId="77777777" w:rsidR="00A95997" w:rsidRDefault="00A95997" w:rsidP="00A95997">
      <w:pPr>
        <w:tabs>
          <w:tab w:val="left" w:pos="3090"/>
        </w:tabs>
        <w:jc w:val="both"/>
        <w:rPr>
          <w:rFonts w:ascii="Calibri" w:hAnsi="Calibri" w:cs="Calibri"/>
          <w:sz w:val="22"/>
          <w:szCs w:val="22"/>
        </w:rPr>
      </w:pPr>
    </w:p>
    <w:p w14:paraId="3F62456C" w14:textId="77777777" w:rsidR="00A95997" w:rsidRDefault="00A95997" w:rsidP="00A95997">
      <w:pPr>
        <w:tabs>
          <w:tab w:val="left" w:pos="3090"/>
        </w:tabs>
        <w:jc w:val="both"/>
        <w:rPr>
          <w:rFonts w:ascii="Calibri" w:hAnsi="Calibri" w:cs="Calibri"/>
          <w:sz w:val="22"/>
          <w:szCs w:val="22"/>
        </w:rPr>
      </w:pPr>
      <w:r>
        <w:rPr>
          <w:rFonts w:ascii="Calibri" w:hAnsi="Calibri" w:cs="Calibri"/>
          <w:sz w:val="22"/>
          <w:szCs w:val="22"/>
        </w:rPr>
        <w:t>Este ciclo de capacitaciones es promovido por la Dirección de Producción, Unidad de Turismo del Gobierno Provincial de Tungurahua, reafirmando el compromiso institucional de impulsar el desarrollo del turismo local a través de la implementación de la Estrategia de Turismo de Tungurahua.</w:t>
      </w:r>
    </w:p>
    <w:p w14:paraId="380E28E9" w14:textId="77777777" w:rsidR="00A95997" w:rsidRDefault="00A95997" w:rsidP="00A95997">
      <w:pPr>
        <w:tabs>
          <w:tab w:val="left" w:pos="3090"/>
        </w:tabs>
        <w:jc w:val="both"/>
        <w:rPr>
          <w:rFonts w:ascii="Calibri" w:hAnsi="Calibri" w:cs="Calibri"/>
          <w:sz w:val="22"/>
          <w:szCs w:val="22"/>
        </w:rPr>
      </w:pPr>
    </w:p>
    <w:p w14:paraId="124442F9" w14:textId="77777777" w:rsidR="00A95997" w:rsidRDefault="00A95997" w:rsidP="00A95997">
      <w:pPr>
        <w:tabs>
          <w:tab w:val="left" w:pos="3090"/>
        </w:tabs>
        <w:jc w:val="both"/>
        <w:rPr>
          <w:rFonts w:ascii="Calibri" w:hAnsi="Calibri" w:cs="Calibri"/>
          <w:sz w:val="22"/>
          <w:szCs w:val="22"/>
        </w:rPr>
      </w:pPr>
      <w:r>
        <w:rPr>
          <w:rFonts w:ascii="Calibri" w:hAnsi="Calibri" w:cs="Calibri"/>
          <w:sz w:val="22"/>
          <w:szCs w:val="22"/>
        </w:rPr>
        <w:t>De esta manera, la provincia fortalece la profesionalización de sus actores turísticos, fomenta la innovación en la gestión de destinos responsables y consolida su camino hacia un turismo competitivo, inteligente y sostenible.</w:t>
      </w:r>
    </w:p>
    <w:p w14:paraId="5FC9F324" w14:textId="77777777" w:rsidR="00A95997" w:rsidRDefault="00A95997" w:rsidP="00A95997">
      <w:pPr>
        <w:tabs>
          <w:tab w:val="left" w:pos="3090"/>
        </w:tabs>
        <w:jc w:val="both"/>
        <w:rPr>
          <w:rFonts w:ascii="Calibri" w:hAnsi="Calibri" w:cs="Calibri"/>
          <w:sz w:val="22"/>
          <w:szCs w:val="22"/>
        </w:rPr>
      </w:pPr>
    </w:p>
    <w:p w14:paraId="61819E1E" w14:textId="77777777" w:rsidR="00A95997" w:rsidRDefault="00A95997" w:rsidP="00A95997">
      <w:pPr>
        <w:tabs>
          <w:tab w:val="left" w:pos="3090"/>
        </w:tabs>
        <w:jc w:val="both"/>
        <w:rPr>
          <w:rFonts w:ascii="Calibri" w:hAnsi="Calibri" w:cs="Calibri"/>
          <w:sz w:val="22"/>
          <w:szCs w:val="22"/>
        </w:rPr>
      </w:pPr>
    </w:p>
    <w:p w14:paraId="449BD045" w14:textId="77777777" w:rsidR="00A95997" w:rsidRDefault="00A95997" w:rsidP="00A95997">
      <w:pPr>
        <w:tabs>
          <w:tab w:val="left" w:pos="3090"/>
        </w:tabs>
        <w:jc w:val="both"/>
        <w:rPr>
          <w:rFonts w:ascii="Calibri" w:hAnsi="Calibri" w:cs="Calibri"/>
          <w:sz w:val="22"/>
          <w:szCs w:val="22"/>
        </w:rPr>
      </w:pPr>
    </w:p>
    <w:p w14:paraId="46643410" w14:textId="77777777" w:rsidR="008335F7" w:rsidRPr="00E02AA6" w:rsidRDefault="008335F7" w:rsidP="003301E3">
      <w:pPr>
        <w:tabs>
          <w:tab w:val="left" w:pos="3090"/>
        </w:tabs>
        <w:jc w:val="both"/>
        <w:rPr>
          <w:rFonts w:ascii="Calibri" w:hAnsi="Calibri" w:cs="Calibri"/>
          <w:sz w:val="22"/>
          <w:szCs w:val="22"/>
        </w:rPr>
      </w:pPr>
    </w:p>
    <w:sectPr w:rsidR="008335F7" w:rsidRPr="00E02AA6"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36546" w14:textId="77777777" w:rsidR="00615793" w:rsidRDefault="00615793" w:rsidP="008361BB">
      <w:r>
        <w:separator/>
      </w:r>
    </w:p>
  </w:endnote>
  <w:endnote w:type="continuationSeparator" w:id="0">
    <w:p w14:paraId="26DC2457" w14:textId="77777777" w:rsidR="00615793" w:rsidRDefault="00615793"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7E688" w14:textId="77777777" w:rsidR="00615793" w:rsidRDefault="00615793" w:rsidP="008361BB">
      <w:r>
        <w:separator/>
      </w:r>
    </w:p>
  </w:footnote>
  <w:footnote w:type="continuationSeparator" w:id="0">
    <w:p w14:paraId="4646C848" w14:textId="77777777" w:rsidR="00615793" w:rsidRDefault="00615793"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34C2E"/>
    <w:multiLevelType w:val="hybridMultilevel"/>
    <w:tmpl w:val="AEB4AB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1C74E2B"/>
    <w:multiLevelType w:val="hybridMultilevel"/>
    <w:tmpl w:val="0A5488D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CCF2178"/>
    <w:multiLevelType w:val="hybridMultilevel"/>
    <w:tmpl w:val="5064994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3"/>
  </w:num>
  <w:num w:numId="2" w16cid:durableId="1722096757">
    <w:abstractNumId w:val="2"/>
  </w:num>
  <w:num w:numId="3" w16cid:durableId="1841310766">
    <w:abstractNumId w:val="0"/>
  </w:num>
  <w:num w:numId="4" w16cid:durableId="1074277400">
    <w:abstractNumId w:val="1"/>
  </w:num>
  <w:num w:numId="5" w16cid:durableId="1696807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398"/>
    <w:rsid w:val="00001D2A"/>
    <w:rsid w:val="00026EDE"/>
    <w:rsid w:val="00045CEA"/>
    <w:rsid w:val="00054070"/>
    <w:rsid w:val="00073675"/>
    <w:rsid w:val="000737CE"/>
    <w:rsid w:val="00095E1B"/>
    <w:rsid w:val="000A5FBB"/>
    <w:rsid w:val="000C2287"/>
    <w:rsid w:val="000D2E20"/>
    <w:rsid w:val="000D34C2"/>
    <w:rsid w:val="00126C77"/>
    <w:rsid w:val="00151558"/>
    <w:rsid w:val="001721AF"/>
    <w:rsid w:val="00184BD3"/>
    <w:rsid w:val="001B4C4B"/>
    <w:rsid w:val="001B4C4F"/>
    <w:rsid w:val="002206CF"/>
    <w:rsid w:val="00222ED2"/>
    <w:rsid w:val="002534EE"/>
    <w:rsid w:val="002846E0"/>
    <w:rsid w:val="002D2A00"/>
    <w:rsid w:val="002E1F10"/>
    <w:rsid w:val="002E308E"/>
    <w:rsid w:val="003301E3"/>
    <w:rsid w:val="003601C0"/>
    <w:rsid w:val="0036444C"/>
    <w:rsid w:val="00371710"/>
    <w:rsid w:val="003C4DDA"/>
    <w:rsid w:val="003F03CA"/>
    <w:rsid w:val="003F6248"/>
    <w:rsid w:val="00400807"/>
    <w:rsid w:val="0042110D"/>
    <w:rsid w:val="00474340"/>
    <w:rsid w:val="004868FA"/>
    <w:rsid w:val="004D0952"/>
    <w:rsid w:val="004E51D1"/>
    <w:rsid w:val="00502C24"/>
    <w:rsid w:val="00513A4A"/>
    <w:rsid w:val="00554BE2"/>
    <w:rsid w:val="005557ED"/>
    <w:rsid w:val="00595F2D"/>
    <w:rsid w:val="005A428B"/>
    <w:rsid w:val="005C2343"/>
    <w:rsid w:val="0060620C"/>
    <w:rsid w:val="00615793"/>
    <w:rsid w:val="00622C68"/>
    <w:rsid w:val="006236D0"/>
    <w:rsid w:val="006323BC"/>
    <w:rsid w:val="006D3354"/>
    <w:rsid w:val="006D71C5"/>
    <w:rsid w:val="00720449"/>
    <w:rsid w:val="00724807"/>
    <w:rsid w:val="00725CF7"/>
    <w:rsid w:val="007612C5"/>
    <w:rsid w:val="00771372"/>
    <w:rsid w:val="00783A4C"/>
    <w:rsid w:val="007C54EB"/>
    <w:rsid w:val="007E3397"/>
    <w:rsid w:val="008335F7"/>
    <w:rsid w:val="00834B17"/>
    <w:rsid w:val="008361BB"/>
    <w:rsid w:val="0084031C"/>
    <w:rsid w:val="008463BC"/>
    <w:rsid w:val="008618B4"/>
    <w:rsid w:val="00863877"/>
    <w:rsid w:val="008A6CF4"/>
    <w:rsid w:val="008C302F"/>
    <w:rsid w:val="008F2D61"/>
    <w:rsid w:val="00933CB0"/>
    <w:rsid w:val="0098156A"/>
    <w:rsid w:val="009A7AA1"/>
    <w:rsid w:val="009C1F55"/>
    <w:rsid w:val="009D1314"/>
    <w:rsid w:val="00A06F1E"/>
    <w:rsid w:val="00A135C6"/>
    <w:rsid w:val="00A86D24"/>
    <w:rsid w:val="00A95997"/>
    <w:rsid w:val="00AA5E3D"/>
    <w:rsid w:val="00AB5F5D"/>
    <w:rsid w:val="00AD1C93"/>
    <w:rsid w:val="00AF4E20"/>
    <w:rsid w:val="00B86EDF"/>
    <w:rsid w:val="00BA3638"/>
    <w:rsid w:val="00BA4949"/>
    <w:rsid w:val="00BA72E5"/>
    <w:rsid w:val="00BE0103"/>
    <w:rsid w:val="00C553FB"/>
    <w:rsid w:val="00C92198"/>
    <w:rsid w:val="00CA7312"/>
    <w:rsid w:val="00CC08A6"/>
    <w:rsid w:val="00CC1C15"/>
    <w:rsid w:val="00CC225A"/>
    <w:rsid w:val="00CE054E"/>
    <w:rsid w:val="00CE2FB5"/>
    <w:rsid w:val="00D000EA"/>
    <w:rsid w:val="00D528BF"/>
    <w:rsid w:val="00DC4361"/>
    <w:rsid w:val="00DD4A49"/>
    <w:rsid w:val="00DE620F"/>
    <w:rsid w:val="00E00179"/>
    <w:rsid w:val="00E02AA6"/>
    <w:rsid w:val="00E1147C"/>
    <w:rsid w:val="00E452E6"/>
    <w:rsid w:val="00E61E2A"/>
    <w:rsid w:val="00E66239"/>
    <w:rsid w:val="00E66A38"/>
    <w:rsid w:val="00E701F8"/>
    <w:rsid w:val="00EA42EB"/>
    <w:rsid w:val="00EE6585"/>
    <w:rsid w:val="00F048D2"/>
    <w:rsid w:val="00F20519"/>
    <w:rsid w:val="00F30B87"/>
    <w:rsid w:val="00F35FB6"/>
    <w:rsid w:val="00F37561"/>
    <w:rsid w:val="00F80DDA"/>
    <w:rsid w:val="00F87E2B"/>
    <w:rsid w:val="00F946C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character" w:styleId="Hipervnculo">
    <w:name w:val="Hyperlink"/>
    <w:basedOn w:val="Fuentedeprrafopredeter"/>
    <w:uiPriority w:val="99"/>
    <w:unhideWhenUsed/>
    <w:rsid w:val="00E66A38"/>
    <w:rPr>
      <w:color w:val="467886" w:themeColor="hyperlink"/>
      <w:u w:val="single"/>
    </w:rPr>
  </w:style>
  <w:style w:type="character" w:styleId="Mencinsinresolver">
    <w:name w:val="Unresolved Mention"/>
    <w:basedOn w:val="Fuentedeprrafopredeter"/>
    <w:uiPriority w:val="99"/>
    <w:semiHidden/>
    <w:unhideWhenUsed/>
    <w:rsid w:val="00724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1</Pages>
  <Words>330</Words>
  <Characters>1815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47</cp:revision>
  <cp:lastPrinted>2025-09-10T20:19:00Z</cp:lastPrinted>
  <dcterms:created xsi:type="dcterms:W3CDTF">2025-05-09T13:30:00Z</dcterms:created>
  <dcterms:modified xsi:type="dcterms:W3CDTF">2026-03-31T14:16:00Z</dcterms:modified>
</cp:coreProperties>
</file>