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7F033">
      <w:pPr>
        <w:pStyle w:val="38"/>
        <w:jc w:val="center"/>
        <w:rPr>
          <w:rFonts w:cs="Calibri"/>
          <w:b/>
          <w:bCs/>
          <w:sz w:val="24"/>
          <w:szCs w:val="24"/>
        </w:rPr>
      </w:pPr>
    </w:p>
    <w:p w14:paraId="5355BC57">
      <w:pPr>
        <w:pStyle w:val="38"/>
        <w:jc w:val="center"/>
        <w:rPr>
          <w:rFonts w:cs="Calibri"/>
          <w:b/>
          <w:bCs/>
          <w:sz w:val="24"/>
          <w:szCs w:val="24"/>
        </w:rPr>
      </w:pPr>
    </w:p>
    <w:p w14:paraId="4B7AF150">
      <w:pPr>
        <w:pStyle w:val="38"/>
        <w:jc w:val="center"/>
        <w:rPr>
          <w:rFonts w:cs="Calibri"/>
          <w:b/>
          <w:bCs/>
          <w:sz w:val="24"/>
          <w:szCs w:val="24"/>
        </w:rPr>
      </w:pPr>
      <w:r>
        <w:rPr>
          <w:rFonts w:cs="Calibri"/>
          <w:b/>
          <w:bCs/>
          <w:sz w:val="24"/>
          <w:szCs w:val="24"/>
        </w:rPr>
        <w:t>BOLETÍN DE PRENSA</w:t>
      </w:r>
    </w:p>
    <w:p w14:paraId="60875DF1">
      <w:pPr>
        <w:pStyle w:val="38"/>
        <w:rPr>
          <w:rFonts w:cs="Calibri"/>
          <w:b/>
          <w:bCs/>
          <w:sz w:val="24"/>
          <w:szCs w:val="24"/>
        </w:rPr>
      </w:pPr>
      <w:r>
        <w:rPr>
          <w:rFonts w:cs="Calibri"/>
          <w:b/>
          <w:bCs/>
          <w:sz w:val="24"/>
          <w:szCs w:val="24"/>
        </w:rPr>
        <w:t>HGPT/6</w:t>
      </w:r>
      <w:r>
        <w:rPr>
          <w:rFonts w:hint="default" w:cs="Calibri"/>
          <w:b/>
          <w:bCs/>
          <w:sz w:val="24"/>
          <w:szCs w:val="24"/>
          <w:lang w:val="es-ES"/>
        </w:rPr>
        <w:t>92</w:t>
      </w:r>
      <w:r>
        <w:rPr>
          <w:rFonts w:cs="Calibri"/>
          <w:b/>
          <w:bCs/>
          <w:sz w:val="24"/>
          <w:szCs w:val="24"/>
        </w:rPr>
        <w:t>/26/09/2025</w:t>
      </w:r>
    </w:p>
    <w:p w14:paraId="3FE50F82">
      <w:pPr>
        <w:tabs>
          <w:tab w:val="left" w:pos="3090"/>
        </w:tabs>
        <w:rPr>
          <w:rFonts w:ascii="Calibri" w:hAnsi="Calibri" w:cs="Calibri"/>
          <w:b/>
          <w:bCs/>
        </w:rPr>
      </w:pPr>
    </w:p>
    <w:p w14:paraId="041F9207">
      <w:pPr>
        <w:tabs>
          <w:tab w:val="left" w:pos="3090"/>
        </w:tabs>
        <w:jc w:val="center"/>
        <w:rPr>
          <w:rFonts w:ascii="Calibri" w:hAnsi="Calibri" w:cs="Calibri"/>
          <w:b/>
          <w:bCs/>
        </w:rPr>
      </w:pPr>
    </w:p>
    <w:p w14:paraId="739E6DCC">
      <w:pPr>
        <w:tabs>
          <w:tab w:val="left" w:pos="3090"/>
        </w:tabs>
        <w:jc w:val="center"/>
        <w:rPr>
          <w:rFonts w:ascii="Calibri" w:hAnsi="Calibri" w:cs="Calibri"/>
          <w:b/>
          <w:bCs/>
        </w:rPr>
      </w:pPr>
    </w:p>
    <w:p w14:paraId="2C22D922">
      <w:pPr>
        <w:tabs>
          <w:tab w:val="left" w:pos="3090"/>
        </w:tabs>
        <w:jc w:val="center"/>
        <w:rPr>
          <w:rFonts w:hint="default" w:ascii="Calibri" w:hAnsi="Calibri"/>
          <w:b/>
          <w:bCs/>
        </w:rPr>
      </w:pPr>
      <w:r>
        <w:rPr>
          <w:rFonts w:hint="default" w:ascii="Calibri" w:hAnsi="Calibri"/>
          <w:b/>
          <w:bCs/>
        </w:rPr>
        <w:t>ECUATEXTIL 2025: UN ÉXITO EN EL BICENTENARIO DE QUITO</w:t>
      </w:r>
    </w:p>
    <w:p w14:paraId="22497657">
      <w:pPr>
        <w:tabs>
          <w:tab w:val="left" w:pos="3090"/>
        </w:tabs>
        <w:jc w:val="center"/>
        <w:rPr>
          <w:rFonts w:hint="default" w:ascii="Calibri" w:hAnsi="Calibri"/>
          <w:b/>
          <w:bCs/>
        </w:rPr>
      </w:pPr>
    </w:p>
    <w:p w14:paraId="52E8106B">
      <w:pPr>
        <w:tabs>
          <w:tab w:val="left" w:pos="3090"/>
        </w:tabs>
        <w:jc w:val="both"/>
        <w:rPr>
          <w:rFonts w:hint="default" w:ascii="Calibri" w:hAnsi="Calibri"/>
          <w:sz w:val="22"/>
          <w:szCs w:val="22"/>
        </w:rPr>
      </w:pPr>
      <w:r>
        <w:rPr>
          <w:rFonts w:hint="default" w:ascii="Calibri" w:hAnsi="Calibri"/>
          <w:sz w:val="22"/>
          <w:szCs w:val="22"/>
        </w:rPr>
        <w:t>La octava edición de la feria Ecuatextil, uno de los encuentros más importantes del Ecuador en materia textil sostenible, se inauguró con éxito en el Parque Bicentenario de Quito, con la presencia de autoridades nacionales y más de 75 empresarios que exhiben productos y servicios innovadores relacionados con la industria textil.</w:t>
      </w:r>
    </w:p>
    <w:p w14:paraId="7FE9E8CA">
      <w:pPr>
        <w:tabs>
          <w:tab w:val="left" w:pos="3090"/>
        </w:tabs>
        <w:jc w:val="both"/>
        <w:rPr>
          <w:rFonts w:hint="default" w:ascii="Calibri" w:hAnsi="Calibri"/>
          <w:sz w:val="22"/>
          <w:szCs w:val="22"/>
        </w:rPr>
      </w:pPr>
    </w:p>
    <w:p w14:paraId="4BFAB9A3">
      <w:pPr>
        <w:tabs>
          <w:tab w:val="left" w:pos="3090"/>
        </w:tabs>
        <w:jc w:val="both"/>
        <w:rPr>
          <w:rFonts w:hint="default" w:ascii="Calibri" w:hAnsi="Calibri"/>
          <w:b/>
          <w:bCs/>
          <w:sz w:val="22"/>
          <w:szCs w:val="22"/>
        </w:rPr>
      </w:pPr>
      <w:r>
        <w:rPr>
          <w:rFonts w:hint="default" w:ascii="Calibri" w:hAnsi="Calibri"/>
          <w:b/>
          <w:bCs/>
          <w:sz w:val="22"/>
          <w:szCs w:val="22"/>
        </w:rPr>
        <w:t>Participación y Expectativas</w:t>
      </w:r>
    </w:p>
    <w:p w14:paraId="5DC8AE76">
      <w:pPr>
        <w:tabs>
          <w:tab w:val="left" w:pos="3090"/>
        </w:tabs>
        <w:jc w:val="both"/>
        <w:rPr>
          <w:rFonts w:hint="default" w:ascii="Calibri" w:hAnsi="Calibri"/>
          <w:sz w:val="22"/>
          <w:szCs w:val="22"/>
        </w:rPr>
      </w:pPr>
    </w:p>
    <w:p w14:paraId="16461EB3">
      <w:pPr>
        <w:tabs>
          <w:tab w:val="left" w:pos="3090"/>
        </w:tabs>
        <w:jc w:val="both"/>
        <w:rPr>
          <w:rFonts w:hint="default" w:ascii="Calibri" w:hAnsi="Calibri"/>
          <w:sz w:val="22"/>
          <w:szCs w:val="22"/>
        </w:rPr>
      </w:pPr>
      <w:r>
        <w:rPr>
          <w:rFonts w:hint="default" w:ascii="Calibri" w:hAnsi="Calibri"/>
          <w:sz w:val="22"/>
          <w:szCs w:val="22"/>
        </w:rPr>
        <w:t>La feria, que se desarrolla en el Parque Bicentenario</w:t>
      </w:r>
      <w:r>
        <w:rPr>
          <w:rFonts w:hint="default" w:ascii="Calibri" w:hAnsi="Calibri"/>
          <w:sz w:val="22"/>
          <w:szCs w:val="22"/>
          <w:lang w:val="es-ES"/>
        </w:rPr>
        <w:t xml:space="preserve">, </w:t>
      </w:r>
      <w:r>
        <w:rPr>
          <w:rFonts w:hint="default" w:ascii="Calibri" w:hAnsi="Calibri"/>
          <w:sz w:val="22"/>
          <w:szCs w:val="22"/>
        </w:rPr>
        <w:t>un espacio verde de 125 hectáreas equipado para eventos masivos, conciertos, deportes y actividades culturales</w:t>
      </w:r>
      <w:r>
        <w:rPr>
          <w:rFonts w:hint="default" w:ascii="Calibri" w:hAnsi="Calibri"/>
          <w:sz w:val="22"/>
          <w:szCs w:val="22"/>
          <w:lang w:val="es-ES"/>
        </w:rPr>
        <w:t>,</w:t>
      </w:r>
      <w:bookmarkStart w:id="0" w:name="_GoBack"/>
      <w:bookmarkEnd w:id="0"/>
      <w:r>
        <w:rPr>
          <w:rFonts w:hint="default" w:ascii="Calibri" w:hAnsi="Calibri"/>
          <w:sz w:val="22"/>
          <w:szCs w:val="22"/>
        </w:rPr>
        <w:t xml:space="preserve"> espera recibir a más de 12.000 participantes durante los tres días de duración.</w:t>
      </w:r>
    </w:p>
    <w:p w14:paraId="6D9709B9">
      <w:pPr>
        <w:tabs>
          <w:tab w:val="left" w:pos="3090"/>
        </w:tabs>
        <w:jc w:val="both"/>
        <w:rPr>
          <w:rFonts w:hint="default" w:ascii="Calibri" w:hAnsi="Calibri"/>
          <w:sz w:val="22"/>
          <w:szCs w:val="22"/>
        </w:rPr>
      </w:pPr>
      <w:r>
        <w:rPr>
          <w:rFonts w:hint="default" w:ascii="Calibri" w:hAnsi="Calibri"/>
          <w:sz w:val="22"/>
          <w:szCs w:val="22"/>
        </w:rPr>
        <w:t>Los asistentes pueden conocer de cerca la labor de empresas y emprendimientos del sector, disfrutar de exposiciones, competencias y actividades al aire libre que fomentan la integración y el intercambio de conocimientos.</w:t>
      </w:r>
    </w:p>
    <w:p w14:paraId="14A7EC8C">
      <w:pPr>
        <w:tabs>
          <w:tab w:val="left" w:pos="3090"/>
        </w:tabs>
        <w:jc w:val="both"/>
        <w:rPr>
          <w:rFonts w:hint="default" w:ascii="Calibri" w:hAnsi="Calibri"/>
          <w:sz w:val="22"/>
          <w:szCs w:val="22"/>
        </w:rPr>
      </w:pPr>
    </w:p>
    <w:p w14:paraId="2C278A72">
      <w:pPr>
        <w:tabs>
          <w:tab w:val="left" w:pos="3090"/>
        </w:tabs>
        <w:jc w:val="both"/>
        <w:rPr>
          <w:rFonts w:hint="default" w:ascii="Calibri" w:hAnsi="Calibri"/>
          <w:b/>
          <w:bCs/>
          <w:sz w:val="22"/>
          <w:szCs w:val="22"/>
        </w:rPr>
      </w:pPr>
      <w:r>
        <w:rPr>
          <w:rFonts w:hint="default" w:ascii="Calibri" w:hAnsi="Calibri"/>
          <w:b/>
          <w:bCs/>
          <w:sz w:val="22"/>
          <w:szCs w:val="22"/>
        </w:rPr>
        <w:t>Importancia de la Feria</w:t>
      </w:r>
    </w:p>
    <w:p w14:paraId="5077C9B4">
      <w:pPr>
        <w:tabs>
          <w:tab w:val="left" w:pos="3090"/>
        </w:tabs>
        <w:jc w:val="both"/>
        <w:rPr>
          <w:rFonts w:hint="default" w:ascii="Calibri" w:hAnsi="Calibri"/>
          <w:sz w:val="22"/>
          <w:szCs w:val="22"/>
        </w:rPr>
      </w:pPr>
    </w:p>
    <w:p w14:paraId="6C292007">
      <w:pPr>
        <w:tabs>
          <w:tab w:val="left" w:pos="3090"/>
        </w:tabs>
        <w:jc w:val="both"/>
        <w:rPr>
          <w:rFonts w:hint="default" w:ascii="Calibri" w:hAnsi="Calibri"/>
          <w:sz w:val="22"/>
          <w:szCs w:val="22"/>
        </w:rPr>
      </w:pPr>
      <w:r>
        <w:rPr>
          <w:rFonts w:hint="default" w:ascii="Calibri" w:hAnsi="Calibri"/>
          <w:sz w:val="22"/>
          <w:szCs w:val="22"/>
        </w:rPr>
        <w:t>Ecuatextil se ha consolidado como un espacio clave para el fortalecimiento de la industria textil ecuatoriana, al permitir el establecimiento de contactos comerciales, la difusión de nuevas tendencias y tecnologías, y la promoción de la sostenibilidad y la responsabilidad social.</w:t>
      </w:r>
    </w:p>
    <w:p w14:paraId="17BFCAD4">
      <w:pPr>
        <w:tabs>
          <w:tab w:val="left" w:pos="3090"/>
        </w:tabs>
        <w:jc w:val="both"/>
        <w:rPr>
          <w:rFonts w:hint="default" w:ascii="Calibri" w:hAnsi="Calibri"/>
          <w:sz w:val="22"/>
          <w:szCs w:val="22"/>
        </w:rPr>
      </w:pPr>
    </w:p>
    <w:p w14:paraId="5F7FED3B">
      <w:pPr>
        <w:tabs>
          <w:tab w:val="left" w:pos="3090"/>
        </w:tabs>
        <w:jc w:val="both"/>
        <w:rPr>
          <w:rFonts w:hint="default" w:ascii="Calibri" w:hAnsi="Calibri"/>
          <w:sz w:val="22"/>
          <w:szCs w:val="22"/>
        </w:rPr>
      </w:pPr>
      <w:r>
        <w:rPr>
          <w:rFonts w:hint="default" w:ascii="Calibri" w:hAnsi="Calibri"/>
          <w:sz w:val="22"/>
          <w:szCs w:val="22"/>
        </w:rPr>
        <w:t>La feria pone en relieve la importancia de prácticas y productos textiles que reduzcan el impacto ambiental y contribuyan al respeto del medio ambiente.</w:t>
      </w:r>
    </w:p>
    <w:p w14:paraId="23102744">
      <w:pPr>
        <w:tabs>
          <w:tab w:val="left" w:pos="3090"/>
        </w:tabs>
        <w:jc w:val="both"/>
        <w:rPr>
          <w:rFonts w:hint="default" w:ascii="Calibri" w:hAnsi="Calibri"/>
          <w:sz w:val="22"/>
          <w:szCs w:val="22"/>
        </w:rPr>
      </w:pPr>
    </w:p>
    <w:p w14:paraId="4B12ED89">
      <w:pPr>
        <w:tabs>
          <w:tab w:val="left" w:pos="3090"/>
        </w:tabs>
        <w:jc w:val="both"/>
        <w:rPr>
          <w:rFonts w:hint="default" w:ascii="Calibri" w:hAnsi="Calibri"/>
          <w:b/>
          <w:bCs/>
          <w:sz w:val="22"/>
          <w:szCs w:val="22"/>
        </w:rPr>
      </w:pPr>
      <w:r>
        <w:rPr>
          <w:rFonts w:hint="default" w:ascii="Calibri" w:hAnsi="Calibri"/>
          <w:b/>
          <w:bCs/>
          <w:sz w:val="22"/>
          <w:szCs w:val="22"/>
        </w:rPr>
        <w:t>Participación del Gobierno Provincial de Tungurahua</w:t>
      </w:r>
    </w:p>
    <w:p w14:paraId="0EDA5507">
      <w:pPr>
        <w:tabs>
          <w:tab w:val="left" w:pos="3090"/>
        </w:tabs>
        <w:jc w:val="both"/>
        <w:rPr>
          <w:rFonts w:hint="default" w:ascii="Calibri" w:hAnsi="Calibri"/>
          <w:sz w:val="22"/>
          <w:szCs w:val="22"/>
        </w:rPr>
      </w:pPr>
    </w:p>
    <w:p w14:paraId="1C336BA2">
      <w:pPr>
        <w:tabs>
          <w:tab w:val="left" w:pos="3090"/>
        </w:tabs>
        <w:jc w:val="both"/>
        <w:rPr>
          <w:rFonts w:hint="default" w:ascii="Calibri" w:hAnsi="Calibri"/>
          <w:sz w:val="22"/>
          <w:szCs w:val="22"/>
        </w:rPr>
      </w:pPr>
      <w:r>
        <w:rPr>
          <w:rFonts w:hint="default" w:ascii="Calibri" w:hAnsi="Calibri"/>
          <w:sz w:val="22"/>
          <w:szCs w:val="22"/>
        </w:rPr>
        <w:t>El Gobierno Provincial de Tungurahua participa activamente en esta octava edición con la presencia de 20 productores de textil y calzado, en el marco del proyecto Tungurahua Fashion Week.</w:t>
      </w:r>
    </w:p>
    <w:p w14:paraId="6F809DB1">
      <w:pPr>
        <w:tabs>
          <w:tab w:val="left" w:pos="3090"/>
        </w:tabs>
        <w:jc w:val="both"/>
        <w:rPr>
          <w:rFonts w:hint="default" w:ascii="Calibri" w:hAnsi="Calibri"/>
          <w:sz w:val="22"/>
          <w:szCs w:val="22"/>
        </w:rPr>
      </w:pPr>
    </w:p>
    <w:p w14:paraId="162C8B44">
      <w:pPr>
        <w:tabs>
          <w:tab w:val="left" w:pos="3090"/>
        </w:tabs>
        <w:jc w:val="both"/>
        <w:rPr>
          <w:rFonts w:hint="default" w:ascii="Calibri" w:hAnsi="Calibri"/>
          <w:sz w:val="22"/>
          <w:szCs w:val="22"/>
        </w:rPr>
      </w:pPr>
      <w:r>
        <w:rPr>
          <w:rFonts w:hint="default" w:ascii="Calibri" w:hAnsi="Calibri"/>
          <w:sz w:val="22"/>
          <w:szCs w:val="22"/>
        </w:rPr>
        <w:t>Esta iniciativa busca consolidar a Tungurahua como una de las principales provincias proveedoras de textil y confección a nivel nacional, impulsando la innovación, la competitividad y la apertura comercial para sus emprendedores y pequeñas industrias.</w:t>
      </w:r>
    </w:p>
    <w:p w14:paraId="6784EB5A">
      <w:pPr>
        <w:tabs>
          <w:tab w:val="left" w:pos="3090"/>
        </w:tabs>
        <w:jc w:val="both"/>
        <w:rPr>
          <w:rFonts w:hint="default" w:ascii="Calibri" w:hAnsi="Calibri"/>
          <w:sz w:val="22"/>
          <w:szCs w:val="22"/>
        </w:rPr>
      </w:pPr>
    </w:p>
    <w:p w14:paraId="21261693">
      <w:pPr>
        <w:tabs>
          <w:tab w:val="left" w:pos="3090"/>
        </w:tabs>
        <w:jc w:val="both"/>
        <w:rPr>
          <w:rFonts w:hint="default" w:ascii="Calibri" w:hAnsi="Calibri"/>
          <w:sz w:val="22"/>
          <w:szCs w:val="22"/>
        </w:rPr>
      </w:pPr>
      <w:r>
        <w:rPr>
          <w:rFonts w:hint="default" w:ascii="Calibri" w:hAnsi="Calibri"/>
          <w:b/>
          <w:bCs/>
          <w:sz w:val="22"/>
          <w:szCs w:val="22"/>
        </w:rPr>
        <w:t>Conclusión</w:t>
      </w:r>
    </w:p>
    <w:p w14:paraId="4D4ED0B1">
      <w:pPr>
        <w:tabs>
          <w:tab w:val="left" w:pos="3090"/>
        </w:tabs>
        <w:jc w:val="both"/>
        <w:rPr>
          <w:rFonts w:hint="default" w:ascii="Calibri" w:hAnsi="Calibri"/>
          <w:sz w:val="22"/>
          <w:szCs w:val="22"/>
        </w:rPr>
      </w:pPr>
    </w:p>
    <w:p w14:paraId="3EFC31E2">
      <w:pPr>
        <w:tabs>
          <w:tab w:val="left" w:pos="3090"/>
        </w:tabs>
        <w:jc w:val="both"/>
        <w:rPr>
          <w:rFonts w:hint="default" w:ascii="Calibri" w:hAnsi="Calibri"/>
          <w:sz w:val="22"/>
          <w:szCs w:val="22"/>
        </w:rPr>
      </w:pPr>
      <w:r>
        <w:rPr>
          <w:rFonts w:hint="default" w:ascii="Calibri" w:hAnsi="Calibri"/>
          <w:sz w:val="22"/>
          <w:szCs w:val="22"/>
        </w:rPr>
        <w:t>La Ecuatextil 2025 reafirma su papel como vitrina de la sostenibilidad y la innovación en la industria textil ecuatoriana. Este evento representa una oportunidad para que los productores y empresarios del sector se conecten con nuevos comercializadores y fortalezcan su participación en el mercado nacional e internacional.</w:t>
      </w:r>
    </w:p>
    <w:p w14:paraId="78B93620">
      <w:pPr>
        <w:tabs>
          <w:tab w:val="left" w:pos="3090"/>
        </w:tabs>
        <w:jc w:val="both"/>
        <w:rPr>
          <w:rFonts w:hint="default" w:ascii="Calibri" w:hAnsi="Calibri"/>
          <w:sz w:val="22"/>
          <w:szCs w:val="22"/>
        </w:rPr>
      </w:pPr>
    </w:p>
    <w:p w14:paraId="0F736DE0">
      <w:pPr>
        <w:tabs>
          <w:tab w:val="left" w:pos="3090"/>
        </w:tabs>
        <w:jc w:val="both"/>
        <w:rPr>
          <w:rFonts w:ascii="Calibri" w:hAnsi="Calibri" w:cs="Calibri"/>
          <w:sz w:val="22"/>
          <w:szCs w:val="22"/>
        </w:rPr>
      </w:pPr>
      <w:r>
        <w:rPr>
          <w:rFonts w:hint="default" w:ascii="Calibri" w:hAnsi="Calibri"/>
          <w:sz w:val="22"/>
          <w:szCs w:val="22"/>
        </w:rPr>
        <w:t>El Gobierno Provincial de Tungurahua ratifica su compromiso de continuar apoyando espacios que impulsen el talento local y promuevan la dinamización económica de la provincia.</w:t>
      </w:r>
    </w:p>
    <w:sectPr>
      <w:headerReference r:id="rId3" w:type="default"/>
      <w:pgSz w:w="11900" w:h="16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2321">
    <w:pPr>
      <w:pStyle w:val="13"/>
    </w:pPr>
    <w:r>
      <w:drawing>
        <wp:anchor distT="0" distB="0" distL="114300" distR="114300" simplePos="0" relativeHeight="251659264" behindDoc="1" locked="0" layoutInCell="1" allowOverlap="1">
          <wp:simplePos x="0" y="0"/>
          <wp:positionH relativeFrom="column">
            <wp:posOffset>-1072515</wp:posOffset>
          </wp:positionH>
          <wp:positionV relativeFrom="paragraph">
            <wp:posOffset>-441960</wp:posOffset>
          </wp:positionV>
          <wp:extent cx="7549515" cy="10670540"/>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BB"/>
    <w:rsid w:val="00001D2A"/>
    <w:rsid w:val="000131B7"/>
    <w:rsid w:val="00026EDE"/>
    <w:rsid w:val="000335FC"/>
    <w:rsid w:val="00042B7B"/>
    <w:rsid w:val="00045CEA"/>
    <w:rsid w:val="00054070"/>
    <w:rsid w:val="000737CE"/>
    <w:rsid w:val="00084322"/>
    <w:rsid w:val="00092EBE"/>
    <w:rsid w:val="00095E1B"/>
    <w:rsid w:val="000A18D4"/>
    <w:rsid w:val="000B1632"/>
    <w:rsid w:val="000C2287"/>
    <w:rsid w:val="000C302F"/>
    <w:rsid w:val="000D2E20"/>
    <w:rsid w:val="000D34C2"/>
    <w:rsid w:val="000F6056"/>
    <w:rsid w:val="00102437"/>
    <w:rsid w:val="00122FFC"/>
    <w:rsid w:val="001249EE"/>
    <w:rsid w:val="00126C77"/>
    <w:rsid w:val="00147FD6"/>
    <w:rsid w:val="00151558"/>
    <w:rsid w:val="00173A9F"/>
    <w:rsid w:val="0019469C"/>
    <w:rsid w:val="001B3CD9"/>
    <w:rsid w:val="001B4C4B"/>
    <w:rsid w:val="001B4C4F"/>
    <w:rsid w:val="002141F0"/>
    <w:rsid w:val="002206CF"/>
    <w:rsid w:val="00222ED2"/>
    <w:rsid w:val="00223A42"/>
    <w:rsid w:val="002534EE"/>
    <w:rsid w:val="00264353"/>
    <w:rsid w:val="00273E5A"/>
    <w:rsid w:val="002846E0"/>
    <w:rsid w:val="0029423E"/>
    <w:rsid w:val="002C0D29"/>
    <w:rsid w:val="002D2A00"/>
    <w:rsid w:val="002E1ED5"/>
    <w:rsid w:val="002E1F10"/>
    <w:rsid w:val="002E6718"/>
    <w:rsid w:val="002F6EFB"/>
    <w:rsid w:val="00337218"/>
    <w:rsid w:val="003378BF"/>
    <w:rsid w:val="00343FF5"/>
    <w:rsid w:val="00345C6C"/>
    <w:rsid w:val="00350365"/>
    <w:rsid w:val="00352720"/>
    <w:rsid w:val="0036444C"/>
    <w:rsid w:val="003A1016"/>
    <w:rsid w:val="003C4DDA"/>
    <w:rsid w:val="003C7E19"/>
    <w:rsid w:val="003F03CA"/>
    <w:rsid w:val="003F6248"/>
    <w:rsid w:val="00400807"/>
    <w:rsid w:val="004051CD"/>
    <w:rsid w:val="0041160B"/>
    <w:rsid w:val="0042110D"/>
    <w:rsid w:val="004246E9"/>
    <w:rsid w:val="004439C5"/>
    <w:rsid w:val="00454615"/>
    <w:rsid w:val="00474340"/>
    <w:rsid w:val="0047763E"/>
    <w:rsid w:val="004868FA"/>
    <w:rsid w:val="004A3BFC"/>
    <w:rsid w:val="004A7BCF"/>
    <w:rsid w:val="004A7C11"/>
    <w:rsid w:val="004C00F6"/>
    <w:rsid w:val="004C3891"/>
    <w:rsid w:val="004D0952"/>
    <w:rsid w:val="004D3E75"/>
    <w:rsid w:val="004E51D1"/>
    <w:rsid w:val="00502C24"/>
    <w:rsid w:val="00513A4A"/>
    <w:rsid w:val="00526F60"/>
    <w:rsid w:val="00535B09"/>
    <w:rsid w:val="00554BE2"/>
    <w:rsid w:val="005557ED"/>
    <w:rsid w:val="005624C3"/>
    <w:rsid w:val="00577DBD"/>
    <w:rsid w:val="00583ED5"/>
    <w:rsid w:val="00595F2D"/>
    <w:rsid w:val="005A428B"/>
    <w:rsid w:val="005A6985"/>
    <w:rsid w:val="005C2343"/>
    <w:rsid w:val="005D2973"/>
    <w:rsid w:val="0060620C"/>
    <w:rsid w:val="00612241"/>
    <w:rsid w:val="00622381"/>
    <w:rsid w:val="00622C68"/>
    <w:rsid w:val="006236D0"/>
    <w:rsid w:val="0062546B"/>
    <w:rsid w:val="006264A7"/>
    <w:rsid w:val="006323BC"/>
    <w:rsid w:val="0066378A"/>
    <w:rsid w:val="00672198"/>
    <w:rsid w:val="006A3F24"/>
    <w:rsid w:val="006A7F70"/>
    <w:rsid w:val="006D22E9"/>
    <w:rsid w:val="006D3354"/>
    <w:rsid w:val="006D71C5"/>
    <w:rsid w:val="006F056B"/>
    <w:rsid w:val="006F2D13"/>
    <w:rsid w:val="00706174"/>
    <w:rsid w:val="0070650E"/>
    <w:rsid w:val="0071136A"/>
    <w:rsid w:val="00720449"/>
    <w:rsid w:val="00725CF7"/>
    <w:rsid w:val="007612C5"/>
    <w:rsid w:val="00771372"/>
    <w:rsid w:val="007715AF"/>
    <w:rsid w:val="00777F6A"/>
    <w:rsid w:val="00783A4C"/>
    <w:rsid w:val="007C54EB"/>
    <w:rsid w:val="007E3397"/>
    <w:rsid w:val="00800792"/>
    <w:rsid w:val="00812E5C"/>
    <w:rsid w:val="00820D79"/>
    <w:rsid w:val="00827CE3"/>
    <w:rsid w:val="00834B17"/>
    <w:rsid w:val="008361BB"/>
    <w:rsid w:val="00843EDB"/>
    <w:rsid w:val="008463BC"/>
    <w:rsid w:val="008618B4"/>
    <w:rsid w:val="00865107"/>
    <w:rsid w:val="00871483"/>
    <w:rsid w:val="00887FDD"/>
    <w:rsid w:val="00890FA1"/>
    <w:rsid w:val="008950D7"/>
    <w:rsid w:val="008A6CF4"/>
    <w:rsid w:val="008C52E2"/>
    <w:rsid w:val="008E040E"/>
    <w:rsid w:val="008F2D61"/>
    <w:rsid w:val="0090583F"/>
    <w:rsid w:val="00906D44"/>
    <w:rsid w:val="00933CB0"/>
    <w:rsid w:val="00934188"/>
    <w:rsid w:val="00972D24"/>
    <w:rsid w:val="0098156A"/>
    <w:rsid w:val="009A7AA1"/>
    <w:rsid w:val="009B3DF2"/>
    <w:rsid w:val="009D6800"/>
    <w:rsid w:val="009E7ABE"/>
    <w:rsid w:val="009F6383"/>
    <w:rsid w:val="00A135C6"/>
    <w:rsid w:val="00A46A6D"/>
    <w:rsid w:val="00A54B2A"/>
    <w:rsid w:val="00A74ED9"/>
    <w:rsid w:val="00A86D24"/>
    <w:rsid w:val="00AA5E3D"/>
    <w:rsid w:val="00AB23A7"/>
    <w:rsid w:val="00AB5F5D"/>
    <w:rsid w:val="00AC31E3"/>
    <w:rsid w:val="00AD1323"/>
    <w:rsid w:val="00AF03E6"/>
    <w:rsid w:val="00AF4E20"/>
    <w:rsid w:val="00B05B50"/>
    <w:rsid w:val="00B86EDF"/>
    <w:rsid w:val="00B95A59"/>
    <w:rsid w:val="00BA3638"/>
    <w:rsid w:val="00BA4949"/>
    <w:rsid w:val="00BB0B9D"/>
    <w:rsid w:val="00BC3621"/>
    <w:rsid w:val="00BD08E1"/>
    <w:rsid w:val="00BE0103"/>
    <w:rsid w:val="00BE5AB8"/>
    <w:rsid w:val="00BF5AE7"/>
    <w:rsid w:val="00BF7C17"/>
    <w:rsid w:val="00C052AD"/>
    <w:rsid w:val="00C26145"/>
    <w:rsid w:val="00C32FB0"/>
    <w:rsid w:val="00C4478C"/>
    <w:rsid w:val="00C455D2"/>
    <w:rsid w:val="00C553FB"/>
    <w:rsid w:val="00C57006"/>
    <w:rsid w:val="00C669D1"/>
    <w:rsid w:val="00C71624"/>
    <w:rsid w:val="00C821C7"/>
    <w:rsid w:val="00C83E09"/>
    <w:rsid w:val="00C87C1D"/>
    <w:rsid w:val="00C92198"/>
    <w:rsid w:val="00CA64B6"/>
    <w:rsid w:val="00CC08A6"/>
    <w:rsid w:val="00CC1C15"/>
    <w:rsid w:val="00CC7AF0"/>
    <w:rsid w:val="00CE054E"/>
    <w:rsid w:val="00CE27EC"/>
    <w:rsid w:val="00D000EA"/>
    <w:rsid w:val="00D15EF5"/>
    <w:rsid w:val="00D21B46"/>
    <w:rsid w:val="00D528BF"/>
    <w:rsid w:val="00D54098"/>
    <w:rsid w:val="00D839F9"/>
    <w:rsid w:val="00DA28A7"/>
    <w:rsid w:val="00DB3632"/>
    <w:rsid w:val="00DC4361"/>
    <w:rsid w:val="00DD4A49"/>
    <w:rsid w:val="00DE557C"/>
    <w:rsid w:val="00DE620F"/>
    <w:rsid w:val="00E00179"/>
    <w:rsid w:val="00E02AA6"/>
    <w:rsid w:val="00E07296"/>
    <w:rsid w:val="00E251DF"/>
    <w:rsid w:val="00E3536B"/>
    <w:rsid w:val="00E66239"/>
    <w:rsid w:val="00E701F8"/>
    <w:rsid w:val="00EA42EB"/>
    <w:rsid w:val="00EE039C"/>
    <w:rsid w:val="00EE6585"/>
    <w:rsid w:val="00EF0F8B"/>
    <w:rsid w:val="00EF5ACB"/>
    <w:rsid w:val="00F20519"/>
    <w:rsid w:val="00F30B87"/>
    <w:rsid w:val="00F339BA"/>
    <w:rsid w:val="00F35FB6"/>
    <w:rsid w:val="00F37561"/>
    <w:rsid w:val="00F80DDA"/>
    <w:rsid w:val="00F87E2B"/>
    <w:rsid w:val="00F946CA"/>
    <w:rsid w:val="00FE0346"/>
    <w:rsid w:val="00FE77CD"/>
    <w:rsid w:val="00FF1864"/>
    <w:rsid w:val="31887597"/>
    <w:rsid w:val="3F024A56"/>
    <w:rsid w:val="6CA67BB2"/>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kern w:val="2"/>
      <w:sz w:val="24"/>
      <w:szCs w:val="24"/>
      <w:lang w:val="es-EC"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header"/>
    <w:basedOn w:val="1"/>
    <w:link w:val="36"/>
    <w:unhideWhenUsed/>
    <w:qFormat/>
    <w:uiPriority w:val="99"/>
    <w:pPr>
      <w:tabs>
        <w:tab w:val="center" w:pos="4419"/>
        <w:tab w:val="right" w:pos="8838"/>
      </w:tabs>
    </w:pPr>
  </w:style>
  <w:style w:type="paragraph" w:styleId="14">
    <w:name w:val="Normal (Web)"/>
    <w:basedOn w:val="1"/>
    <w:unhideWhenUsed/>
    <w:qFormat/>
    <w:uiPriority w:val="99"/>
    <w:pPr>
      <w:spacing w:before="100" w:beforeAutospacing="1" w:after="100" w:afterAutospacing="1"/>
    </w:pPr>
    <w:rPr>
      <w:rFonts w:ascii="Times New Roman" w:hAnsi="Times New Roman" w:eastAsia="Times New Roman" w:cs="Times New Roman"/>
      <w:kern w:val="0"/>
      <w:lang w:val="es-MX" w:eastAsia="es-MX"/>
      <w14:ligatures w14:val="none"/>
    </w:rPr>
  </w:style>
  <w:style w:type="paragraph" w:styleId="15">
    <w:name w:val="footer"/>
    <w:basedOn w:val="1"/>
    <w:link w:val="37"/>
    <w:unhideWhenUsed/>
    <w:qFormat/>
    <w:uiPriority w:val="99"/>
    <w:pPr>
      <w:tabs>
        <w:tab w:val="center" w:pos="4419"/>
        <w:tab w:val="right" w:pos="8838"/>
      </w:tabs>
    </w:pPr>
  </w:style>
  <w:style w:type="paragraph" w:styleId="16">
    <w:name w:val="Subtitle"/>
    <w:basedOn w:val="1"/>
    <w:next w:val="1"/>
    <w:link w:val="28"/>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Título 1 C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Título 3 Car"/>
    <w:basedOn w:val="11"/>
    <w:link w:val="4"/>
    <w:semiHidden/>
    <w:uiPriority w:val="9"/>
    <w:rPr>
      <w:rFonts w:eastAsiaTheme="majorEastAsia" w:cstheme="majorBidi"/>
      <w:color w:val="104862" w:themeColor="accent1" w:themeShade="BF"/>
      <w:sz w:val="28"/>
      <w:szCs w:val="28"/>
    </w:rPr>
  </w:style>
  <w:style w:type="character" w:customStyle="1" w:styleId="21">
    <w:name w:val="Título 4 Car"/>
    <w:basedOn w:val="11"/>
    <w:link w:val="5"/>
    <w:semiHidden/>
    <w:qFormat/>
    <w:uiPriority w:val="9"/>
    <w:rPr>
      <w:rFonts w:eastAsiaTheme="majorEastAsia" w:cstheme="majorBidi"/>
      <w:i/>
      <w:iCs/>
      <w:color w:val="104862" w:themeColor="accent1" w:themeShade="BF"/>
    </w:rPr>
  </w:style>
  <w:style w:type="character" w:customStyle="1" w:styleId="22">
    <w:name w:val="Título 5 Car"/>
    <w:basedOn w:val="11"/>
    <w:link w:val="6"/>
    <w:semiHidden/>
    <w:qFormat/>
    <w:uiPriority w:val="9"/>
    <w:rPr>
      <w:rFonts w:eastAsiaTheme="majorEastAsia" w:cstheme="majorBidi"/>
      <w:color w:val="104862" w:themeColor="accent1" w:themeShade="BF"/>
    </w:rPr>
  </w:style>
  <w:style w:type="character" w:customStyle="1" w:styleId="23">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Título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ítulo C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ítulo C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Cita C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Cita destacada C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Encabezado Car"/>
    <w:basedOn w:val="11"/>
    <w:link w:val="13"/>
    <w:qFormat/>
    <w:uiPriority w:val="99"/>
  </w:style>
  <w:style w:type="character" w:customStyle="1" w:styleId="37">
    <w:name w:val="Pie de página Car"/>
    <w:basedOn w:val="11"/>
    <w:link w:val="15"/>
    <w:uiPriority w:val="99"/>
  </w:style>
  <w:style w:type="paragraph" w:styleId="38">
    <w:name w:val="No Spacing"/>
    <w:qFormat/>
    <w:uiPriority w:val="1"/>
    <w:rPr>
      <w:rFonts w:ascii="Calibri" w:hAnsi="Calibri" w:eastAsia="Calibri" w:cs="Times New Roman"/>
      <w:kern w:val="0"/>
      <w:sz w:val="22"/>
      <w:szCs w:val="22"/>
      <w:lang w:val="es-ES" w:eastAsia="en-US" w:bidi="ar-SA"/>
      <w14:ligatures w14:val="none"/>
    </w:rPr>
  </w:style>
  <w:style w:type="character" w:customStyle="1" w:styleId="39">
    <w:name w:val="uv3um"/>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datastoreItem>
</file>

<file path=docProps/app.xml><?xml version="1.0" encoding="utf-8"?>
<Properties xmlns="http://schemas.openxmlformats.org/officeDocument/2006/extended-properties" xmlns:vt="http://schemas.openxmlformats.org/officeDocument/2006/docPropsVTypes">
  <Template>Normal</Template>
  <Pages>1</Pages>
  <Words>777</Words>
  <Characters>4275</Characters>
  <Lines>35</Lines>
  <Paragraphs>10</Paragraphs>
  <TotalTime>983</TotalTime>
  <ScaleCrop>false</ScaleCrop>
  <LinksUpToDate>false</LinksUpToDate>
  <CharactersWithSpaces>5042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2025-05-09T13:30:00Z</dcterms:created>
  <dc:creator>R. Externas</dc:creator>
  <cp:lastModifiedBy>USUARIO</cp:lastModifiedBy>
  <cp:lastPrinted>2025-09-26T18:17:00Z</cp:lastPrinted>
  <dcterms:modified xsi:type="dcterms:W3CDTF">2025-09-26T21:46:01Z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143AB4694CB945038698D58F6478BF64_13</vt:lpwstr>
  </property>
</Properties>
</file>