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079A" w14:textId="77777777" w:rsidR="00C46FB5" w:rsidRDefault="00C46FB5" w:rsidP="000F5273">
      <w:pPr>
        <w:pStyle w:val="Sinespaciado"/>
        <w:jc w:val="center"/>
        <w:rPr>
          <w:rFonts w:cs="Calibri"/>
          <w:b/>
          <w:bCs/>
          <w:sz w:val="24"/>
          <w:szCs w:val="24"/>
        </w:rPr>
      </w:pPr>
    </w:p>
    <w:p w14:paraId="42A6A6FC" w14:textId="77777777" w:rsidR="008A60E2" w:rsidRDefault="008A60E2" w:rsidP="008A60E2">
      <w:pPr>
        <w:jc w:val="both"/>
        <w:rPr>
          <w:lang w:val="es-ES_tradnl"/>
        </w:rPr>
      </w:pPr>
    </w:p>
    <w:p w14:paraId="0E60F967" w14:textId="77777777" w:rsidR="008A60E2" w:rsidRDefault="008A60E2" w:rsidP="008A60E2">
      <w:pPr>
        <w:pStyle w:val="Sinespaciado"/>
        <w:jc w:val="center"/>
        <w:rPr>
          <w:rFonts w:cs="Calibri"/>
          <w:b/>
          <w:bCs/>
          <w:sz w:val="24"/>
          <w:szCs w:val="24"/>
        </w:rPr>
      </w:pPr>
      <w:r>
        <w:rPr>
          <w:rFonts w:cs="Calibri"/>
          <w:b/>
          <w:bCs/>
          <w:sz w:val="24"/>
          <w:szCs w:val="24"/>
        </w:rPr>
        <w:t>BOLETÍN DE PRENSA</w:t>
      </w:r>
    </w:p>
    <w:p w14:paraId="7F66D60D" w14:textId="18F9757A" w:rsidR="00C73D25" w:rsidRDefault="008A60E2" w:rsidP="00F65CCC">
      <w:pPr>
        <w:pStyle w:val="Sinespaciado"/>
        <w:rPr>
          <w:rFonts w:cs="Calibri"/>
          <w:b/>
          <w:bCs/>
          <w:sz w:val="24"/>
          <w:szCs w:val="24"/>
        </w:rPr>
      </w:pPr>
      <w:r>
        <w:rPr>
          <w:rFonts w:cs="Calibri"/>
          <w:b/>
          <w:bCs/>
          <w:sz w:val="24"/>
          <w:szCs w:val="24"/>
        </w:rPr>
        <w:t>HGPT/</w:t>
      </w:r>
      <w:r w:rsidR="00322250">
        <w:rPr>
          <w:rFonts w:cs="Calibri"/>
          <w:b/>
          <w:bCs/>
          <w:sz w:val="24"/>
          <w:szCs w:val="24"/>
        </w:rPr>
        <w:t>78</w:t>
      </w:r>
      <w:r w:rsidR="00C73D25">
        <w:rPr>
          <w:rFonts w:cs="Calibri"/>
          <w:b/>
          <w:bCs/>
          <w:sz w:val="24"/>
          <w:szCs w:val="24"/>
        </w:rPr>
        <w:t>5</w:t>
      </w:r>
      <w:r>
        <w:rPr>
          <w:rFonts w:cs="Calibri"/>
          <w:b/>
          <w:bCs/>
          <w:sz w:val="24"/>
          <w:szCs w:val="24"/>
        </w:rPr>
        <w:t>/2</w:t>
      </w:r>
      <w:r w:rsidR="00F65CCC">
        <w:rPr>
          <w:rFonts w:cs="Calibri"/>
          <w:b/>
          <w:bCs/>
          <w:sz w:val="24"/>
          <w:szCs w:val="24"/>
        </w:rPr>
        <w:t>4</w:t>
      </w:r>
      <w:r>
        <w:rPr>
          <w:rFonts w:cs="Calibri"/>
          <w:b/>
          <w:bCs/>
          <w:sz w:val="24"/>
          <w:szCs w:val="24"/>
        </w:rPr>
        <w:t xml:space="preserve"> /10/2025</w:t>
      </w:r>
    </w:p>
    <w:p w14:paraId="47824C2F" w14:textId="77777777" w:rsidR="00C73D25" w:rsidRDefault="00C73D25" w:rsidP="00F65CCC">
      <w:pPr>
        <w:pStyle w:val="Sinespaciado"/>
        <w:rPr>
          <w:rFonts w:cs="Calibri"/>
          <w:b/>
          <w:bCs/>
          <w:sz w:val="24"/>
          <w:szCs w:val="24"/>
        </w:rPr>
      </w:pPr>
    </w:p>
    <w:p w14:paraId="26152704" w14:textId="06E96738" w:rsidR="00C73D25" w:rsidRPr="00C73D25" w:rsidRDefault="00C73D25" w:rsidP="00C73D25">
      <w:pPr>
        <w:pStyle w:val="Sinespaciado"/>
        <w:jc w:val="center"/>
        <w:rPr>
          <w:rFonts w:cs="Calibri"/>
          <w:b/>
          <w:bCs/>
          <w:sz w:val="24"/>
          <w:szCs w:val="24"/>
        </w:rPr>
      </w:pPr>
      <w:r>
        <w:rPr>
          <w:rFonts w:cs="Calibri"/>
          <w:b/>
          <w:bCs/>
          <w:sz w:val="24"/>
          <w:szCs w:val="24"/>
        </w:rPr>
        <w:t>T</w:t>
      </w:r>
      <w:r w:rsidRPr="00C73D25">
        <w:rPr>
          <w:rFonts w:cs="Calibri"/>
          <w:b/>
          <w:bCs/>
          <w:sz w:val="24"/>
          <w:szCs w:val="24"/>
        </w:rPr>
        <w:t>UNGURAHUA RECIBE TRES RECONOCIMIENTOS NACIONALES EN LOS PREMIOS IÑAY A LA EXCELENCIA TURÍSTICA 2025</w:t>
      </w:r>
    </w:p>
    <w:p w14:paraId="14867981" w14:textId="77777777" w:rsidR="00C73D25" w:rsidRPr="00C73D25" w:rsidRDefault="00C73D25" w:rsidP="00C73D25">
      <w:pPr>
        <w:pStyle w:val="Sinespaciado"/>
        <w:rPr>
          <w:rFonts w:cs="Calibri"/>
          <w:b/>
          <w:bCs/>
          <w:sz w:val="24"/>
          <w:szCs w:val="24"/>
        </w:rPr>
      </w:pPr>
    </w:p>
    <w:p w14:paraId="05F0146C" w14:textId="77777777" w:rsidR="00C73D25" w:rsidRPr="00C73D25" w:rsidRDefault="00C73D25" w:rsidP="00C73D25">
      <w:pPr>
        <w:pStyle w:val="Sinespaciado"/>
        <w:jc w:val="both"/>
        <w:rPr>
          <w:rFonts w:cs="Calibri"/>
        </w:rPr>
      </w:pPr>
      <w:r w:rsidRPr="00C73D25">
        <w:rPr>
          <w:rFonts w:cs="Calibri"/>
        </w:rPr>
        <w:t xml:space="preserve">En el marco de la Convención Internacional de Turismo </w:t>
      </w:r>
      <w:proofErr w:type="spellStart"/>
      <w:r w:rsidRPr="00C73D25">
        <w:rPr>
          <w:rFonts w:cs="Calibri"/>
        </w:rPr>
        <w:t>Discover</w:t>
      </w:r>
      <w:proofErr w:type="spellEnd"/>
      <w:r w:rsidRPr="00C73D25">
        <w:rPr>
          <w:rFonts w:cs="Calibri"/>
        </w:rPr>
        <w:t xml:space="preserve"> (CIT) 2025, que se desarrolla del 23 al 25 de octubre en la ciudad de Manta, provincia de Manabí, la provincia de Tungurahua ha sido galardonada con tres reconocimientos nacionales en los Premios IÑAY a la Excelencia Turística, máximo reconocimiento del sector turístico ecuatoriano.</w:t>
      </w:r>
    </w:p>
    <w:p w14:paraId="664C1C71" w14:textId="77777777" w:rsidR="00C73D25" w:rsidRPr="00C73D25" w:rsidRDefault="00C73D25" w:rsidP="00C73D25">
      <w:pPr>
        <w:pStyle w:val="Sinespaciado"/>
        <w:jc w:val="both"/>
        <w:rPr>
          <w:rFonts w:cs="Calibri"/>
        </w:rPr>
      </w:pPr>
    </w:p>
    <w:p w14:paraId="10EC1783" w14:textId="77777777" w:rsidR="00C73D25" w:rsidRPr="00C73D25" w:rsidRDefault="00C73D25" w:rsidP="00C73D25">
      <w:pPr>
        <w:pStyle w:val="Sinespaciado"/>
        <w:jc w:val="both"/>
        <w:rPr>
          <w:rFonts w:cs="Calibri"/>
        </w:rPr>
      </w:pPr>
      <w:r w:rsidRPr="00C73D25">
        <w:rPr>
          <w:rFonts w:cs="Calibri"/>
        </w:rPr>
        <w:t>La convención, que reúne a representantes del sector turístico nacional e internacional, busca fortalecer la industria turística del Ecuador a través de la integración de esfuerzos entre los sectores público, privado, académico y ciudadano.</w:t>
      </w:r>
    </w:p>
    <w:p w14:paraId="4C4EA4C0" w14:textId="77777777" w:rsidR="00C73D25" w:rsidRPr="00C73D25" w:rsidRDefault="00C73D25" w:rsidP="00C73D25">
      <w:pPr>
        <w:pStyle w:val="Sinespaciado"/>
        <w:jc w:val="both"/>
        <w:rPr>
          <w:rFonts w:cs="Calibri"/>
        </w:rPr>
      </w:pPr>
    </w:p>
    <w:p w14:paraId="00134161" w14:textId="77777777" w:rsidR="00C73D25" w:rsidRPr="00C73D25" w:rsidRDefault="00C73D25" w:rsidP="00C73D25">
      <w:pPr>
        <w:pStyle w:val="Sinespaciado"/>
        <w:jc w:val="both"/>
        <w:rPr>
          <w:rFonts w:cs="Calibri"/>
        </w:rPr>
      </w:pPr>
      <w:r w:rsidRPr="00C73D25">
        <w:rPr>
          <w:rFonts w:cs="Calibri"/>
        </w:rPr>
        <w:t>Durante la ceremonia de entrega de los Premios IÑAY, realizada el jueves 23 de octubre en la Universidad Eloy Alfaro de Manta, Tungurahua fue reconocida en las siguientes categorías:</w:t>
      </w:r>
    </w:p>
    <w:p w14:paraId="7DBFE1BA" w14:textId="77777777" w:rsidR="00C73D25" w:rsidRPr="00C73D25" w:rsidRDefault="00C73D25" w:rsidP="00C73D25">
      <w:pPr>
        <w:pStyle w:val="Sinespaciado"/>
        <w:jc w:val="both"/>
        <w:rPr>
          <w:rFonts w:cs="Calibri"/>
        </w:rPr>
      </w:pPr>
    </w:p>
    <w:p w14:paraId="4543A551" w14:textId="36876BC4" w:rsidR="00C73D25" w:rsidRPr="00C73D25" w:rsidRDefault="00C73D25" w:rsidP="00C73D25">
      <w:pPr>
        <w:pStyle w:val="Sinespaciado"/>
        <w:jc w:val="both"/>
        <w:rPr>
          <w:rFonts w:cs="Calibri"/>
        </w:rPr>
      </w:pPr>
      <w:r w:rsidRPr="00C73D25">
        <w:rPr>
          <w:rFonts w:cs="Calibri"/>
        </w:rPr>
        <w:t>1.Geoparque Mundial UNESCO Volcán Tungurahua – Categoría Desarrollo Turístico, Subcategoría Pública Social.</w:t>
      </w:r>
    </w:p>
    <w:p w14:paraId="4E7D6493" w14:textId="77777777" w:rsidR="00C73D25" w:rsidRPr="00C73D25" w:rsidRDefault="00C73D25" w:rsidP="00C73D25">
      <w:pPr>
        <w:pStyle w:val="Sinespaciado"/>
        <w:jc w:val="both"/>
        <w:rPr>
          <w:rFonts w:cs="Calibri"/>
        </w:rPr>
      </w:pPr>
      <w:r w:rsidRPr="00C73D25">
        <w:rPr>
          <w:rFonts w:cs="Calibri"/>
        </w:rPr>
        <w:t>2. Baños de Agua Santa – Categoría Gestión Turística, Subcategoría Innovación y Desarrollo.</w:t>
      </w:r>
    </w:p>
    <w:p w14:paraId="2A039D12" w14:textId="77777777" w:rsidR="00C73D25" w:rsidRPr="00C73D25" w:rsidRDefault="00C73D25" w:rsidP="00C73D25">
      <w:pPr>
        <w:pStyle w:val="Sinespaciado"/>
        <w:jc w:val="both"/>
        <w:rPr>
          <w:rFonts w:cs="Calibri"/>
        </w:rPr>
      </w:pPr>
      <w:r w:rsidRPr="00C73D25">
        <w:rPr>
          <w:rFonts w:cs="Calibri"/>
        </w:rPr>
        <w:t xml:space="preserve">3. </w:t>
      </w:r>
      <w:proofErr w:type="spellStart"/>
      <w:r w:rsidRPr="00C73D25">
        <w:rPr>
          <w:rFonts w:cs="Calibri"/>
        </w:rPr>
        <w:t>MsC</w:t>
      </w:r>
      <w:proofErr w:type="spellEnd"/>
      <w:r w:rsidRPr="00C73D25">
        <w:rPr>
          <w:rFonts w:cs="Calibri"/>
        </w:rPr>
        <w:t>. Danilo Aróstegui Rodríguez – Categoría Personaje, Subcategoría Personaje Hombre.</w:t>
      </w:r>
    </w:p>
    <w:p w14:paraId="67AD814C" w14:textId="77777777" w:rsidR="00C73D25" w:rsidRPr="00C73D25" w:rsidRDefault="00C73D25" w:rsidP="00C73D25">
      <w:pPr>
        <w:pStyle w:val="Sinespaciado"/>
        <w:jc w:val="both"/>
        <w:rPr>
          <w:rFonts w:cs="Calibri"/>
        </w:rPr>
      </w:pPr>
    </w:p>
    <w:p w14:paraId="3053F828" w14:textId="77777777" w:rsidR="00C73D25" w:rsidRPr="00C73D25" w:rsidRDefault="00C73D25" w:rsidP="00C73D25">
      <w:pPr>
        <w:pStyle w:val="Sinespaciado"/>
        <w:jc w:val="both"/>
        <w:rPr>
          <w:rFonts w:cs="Calibri"/>
        </w:rPr>
      </w:pPr>
      <w:r w:rsidRPr="00C73D25">
        <w:rPr>
          <w:rFonts w:cs="Calibri"/>
        </w:rPr>
        <w:t>Los galardones fueron entregados por el Viceministro de Turismo, Mateo Estrella, quien destacó a Tungurahua como una provincia ejemplo de trabajo articulado, innovación y fortalecimiento institucional, reflejo de la cooperación efectiva entre el sector público, privado, la academia y la ciudadanía.</w:t>
      </w:r>
    </w:p>
    <w:p w14:paraId="2063D300" w14:textId="77777777" w:rsidR="00C73D25" w:rsidRPr="00C73D25" w:rsidRDefault="00C73D25" w:rsidP="00C73D25">
      <w:pPr>
        <w:pStyle w:val="Sinespaciado"/>
        <w:jc w:val="both"/>
        <w:rPr>
          <w:rFonts w:cs="Calibri"/>
        </w:rPr>
      </w:pPr>
    </w:p>
    <w:p w14:paraId="30A270E1" w14:textId="26033B3C" w:rsidR="00C73D25" w:rsidRPr="00C73D25" w:rsidRDefault="00C73D25" w:rsidP="00C73D25">
      <w:pPr>
        <w:pStyle w:val="Sinespaciado"/>
        <w:jc w:val="both"/>
        <w:rPr>
          <w:rFonts w:cs="Calibri"/>
        </w:rPr>
      </w:pPr>
      <w:r w:rsidRPr="00C73D25">
        <w:rPr>
          <w:rFonts w:cs="Calibri"/>
        </w:rPr>
        <w:t>Los Premios IÑAY reconocen la Excelencia Turística del Ecuador en diversas categorías como alojamiento, emprendimiento, investigación, academia, transporte</w:t>
      </w:r>
      <w:r w:rsidR="007A44EA">
        <w:rPr>
          <w:rFonts w:cs="Calibri"/>
        </w:rPr>
        <w:t>,</w:t>
      </w:r>
      <w:r w:rsidRPr="00C73D25">
        <w:rPr>
          <w:rFonts w:cs="Calibri"/>
        </w:rPr>
        <w:t xml:space="preserve"> operación turística,</w:t>
      </w:r>
      <w:r w:rsidR="007A44EA">
        <w:rPr>
          <w:rFonts w:cs="Calibri"/>
        </w:rPr>
        <w:t xml:space="preserve"> gastronomía, </w:t>
      </w:r>
      <w:r w:rsidR="005A5C69">
        <w:rPr>
          <w:rFonts w:cs="Calibri"/>
        </w:rPr>
        <w:t>gestión</w:t>
      </w:r>
      <w:r w:rsidR="007A44EA">
        <w:rPr>
          <w:rFonts w:cs="Calibri"/>
        </w:rPr>
        <w:t xml:space="preserve"> pública</w:t>
      </w:r>
      <w:r w:rsidR="00F36F52">
        <w:rPr>
          <w:rFonts w:cs="Calibri"/>
        </w:rPr>
        <w:t>,</w:t>
      </w:r>
      <w:r w:rsidRPr="00C73D25">
        <w:rPr>
          <w:rFonts w:cs="Calibri"/>
        </w:rPr>
        <w:t xml:space="preserve"> así como en la destacada participación de personajes hombres y mujeres del turismo a nivel nacional.</w:t>
      </w:r>
    </w:p>
    <w:p w14:paraId="62D14552" w14:textId="77777777" w:rsidR="00C73D25" w:rsidRPr="00C73D25" w:rsidRDefault="00C73D25" w:rsidP="00C73D25">
      <w:pPr>
        <w:pStyle w:val="Sinespaciado"/>
        <w:jc w:val="both"/>
        <w:rPr>
          <w:rFonts w:cs="Calibri"/>
        </w:rPr>
      </w:pPr>
    </w:p>
    <w:p w14:paraId="115D55F9" w14:textId="5749CEF1" w:rsidR="00C73D25" w:rsidRPr="00C73D25" w:rsidRDefault="00C73D25" w:rsidP="00C73D25">
      <w:pPr>
        <w:pStyle w:val="Sinespaciado"/>
        <w:jc w:val="both"/>
        <w:rPr>
          <w:rFonts w:cs="Calibri"/>
        </w:rPr>
      </w:pPr>
      <w:r w:rsidRPr="00C73D25">
        <w:rPr>
          <w:rFonts w:cs="Calibri"/>
        </w:rPr>
        <w:t xml:space="preserve">En el marco del evento, el 24 de octubre se inauguró la Feria </w:t>
      </w:r>
      <w:proofErr w:type="spellStart"/>
      <w:r w:rsidRPr="00C73D25">
        <w:rPr>
          <w:rFonts w:cs="Calibri"/>
        </w:rPr>
        <w:t>Discover</w:t>
      </w:r>
      <w:proofErr w:type="spellEnd"/>
      <w:r w:rsidRPr="00C73D25">
        <w:rPr>
          <w:rFonts w:cs="Calibri"/>
        </w:rPr>
        <w:t xml:space="preserve"> (CIT) América 2025, que se lleva a cabo en el Mega Parque Agustín Intriago de Manta. Esta feria, considerada la vitrina turística más importante del país, se desarrolla de 16h00 a 2</w:t>
      </w:r>
      <w:r w:rsidR="00CF747F">
        <w:rPr>
          <w:rFonts w:cs="Calibri"/>
        </w:rPr>
        <w:t>3</w:t>
      </w:r>
      <w:r w:rsidRPr="00C73D25">
        <w:rPr>
          <w:rFonts w:cs="Calibri"/>
        </w:rPr>
        <w:t>h00 el viernes y de 1</w:t>
      </w:r>
      <w:r w:rsidR="00CF747F">
        <w:rPr>
          <w:rFonts w:cs="Calibri"/>
        </w:rPr>
        <w:t>2</w:t>
      </w:r>
      <w:r w:rsidRPr="00C73D25">
        <w:rPr>
          <w:rFonts w:cs="Calibri"/>
        </w:rPr>
        <w:t>h00 a 2</w:t>
      </w:r>
      <w:r w:rsidR="00CF747F">
        <w:rPr>
          <w:rFonts w:cs="Calibri"/>
        </w:rPr>
        <w:t>3</w:t>
      </w:r>
      <w:r w:rsidRPr="00C73D25">
        <w:rPr>
          <w:rFonts w:cs="Calibri"/>
        </w:rPr>
        <w:t>h00 el sábado, y exhibe lo mejor del turismo, la gastronomía, el emprendimiento, las artesanías y la cultura ecuatoriana, con presentaciones artísticas que enriquecen el encuentro.</w:t>
      </w:r>
    </w:p>
    <w:p w14:paraId="44B7FC9C" w14:textId="77777777" w:rsidR="00C73D25" w:rsidRPr="00C73D25" w:rsidRDefault="00C73D25" w:rsidP="00C73D25">
      <w:pPr>
        <w:pStyle w:val="Sinespaciado"/>
        <w:jc w:val="both"/>
        <w:rPr>
          <w:rFonts w:cs="Calibri"/>
        </w:rPr>
      </w:pPr>
    </w:p>
    <w:p w14:paraId="6162CDA1" w14:textId="77777777" w:rsidR="00C73D25" w:rsidRPr="00C73D25" w:rsidRDefault="00C73D25" w:rsidP="00C73D25">
      <w:pPr>
        <w:pStyle w:val="Sinespaciado"/>
        <w:jc w:val="both"/>
        <w:rPr>
          <w:rFonts w:cs="Calibri"/>
        </w:rPr>
      </w:pPr>
      <w:r w:rsidRPr="00C73D25">
        <w:rPr>
          <w:rFonts w:cs="Calibri"/>
        </w:rPr>
        <w:t>El evento se realiza en uno de los espacios más concurridos de la ciudad de Manta, lo que garantiza una gran asistencia ciudadana y la proyección nacional e internacional de los destinos turísticos del Ecuador.</w:t>
      </w:r>
    </w:p>
    <w:p w14:paraId="267774FA" w14:textId="77777777" w:rsidR="00C73D25" w:rsidRPr="00C73D25" w:rsidRDefault="00C73D25" w:rsidP="00C73D25">
      <w:pPr>
        <w:pStyle w:val="Sinespaciado"/>
        <w:jc w:val="both"/>
        <w:rPr>
          <w:rFonts w:cs="Calibri"/>
        </w:rPr>
      </w:pPr>
    </w:p>
    <w:p w14:paraId="0B41A362" w14:textId="77777777" w:rsidR="00C73D25" w:rsidRDefault="00C73D25" w:rsidP="00C73D25">
      <w:pPr>
        <w:pStyle w:val="Sinespaciado"/>
        <w:jc w:val="both"/>
        <w:rPr>
          <w:rFonts w:cs="Calibri"/>
        </w:rPr>
      </w:pPr>
      <w:r w:rsidRPr="00C73D25">
        <w:rPr>
          <w:rFonts w:cs="Calibri"/>
        </w:rPr>
        <w:t>La participación de Tungurahua en esta convención cuenta con el direccionamiento del Ing. Danilo Aróstegui Rodríguez, responsable del área de Turismo del Gobierno Provincial de Tungurahua y Coordinador del Comité Provincial de Turismo, quien resaltó que: “La presencia del Gobierno Provincial de Tungurahua y del Geoparque Mundial de la Unesco Volcán Tungurahua en este espacio</w:t>
      </w:r>
      <w:r>
        <w:rPr>
          <w:rFonts w:cs="Calibri"/>
        </w:rPr>
        <w:t>,</w:t>
      </w:r>
      <w:r w:rsidRPr="00C73D25">
        <w:rPr>
          <w:rFonts w:cs="Calibri"/>
        </w:rPr>
        <w:t xml:space="preserve"> es una oportunidad para promocionar los </w:t>
      </w:r>
      <w:proofErr w:type="spellStart"/>
      <w:r>
        <w:rPr>
          <w:rFonts w:cs="Calibri"/>
        </w:rPr>
        <w:t>G</w:t>
      </w:r>
      <w:r w:rsidRPr="00C73D25">
        <w:rPr>
          <w:rFonts w:cs="Calibri"/>
        </w:rPr>
        <w:t>eositios</w:t>
      </w:r>
      <w:proofErr w:type="spellEnd"/>
      <w:r w:rsidRPr="00C73D25">
        <w:rPr>
          <w:rFonts w:cs="Calibri"/>
        </w:rPr>
        <w:t xml:space="preserve"> y los </w:t>
      </w:r>
    </w:p>
    <w:p w14:paraId="6F71ED78" w14:textId="77777777" w:rsidR="00C73D25" w:rsidRDefault="00C73D25" w:rsidP="00C73D25">
      <w:pPr>
        <w:pStyle w:val="Sinespaciado"/>
        <w:jc w:val="both"/>
        <w:rPr>
          <w:rFonts w:cs="Calibri"/>
        </w:rPr>
      </w:pPr>
    </w:p>
    <w:p w14:paraId="7940DFB9" w14:textId="77777777" w:rsidR="00C73D25" w:rsidRDefault="00C73D25" w:rsidP="00C73D25">
      <w:pPr>
        <w:pStyle w:val="Sinespaciado"/>
        <w:jc w:val="both"/>
        <w:rPr>
          <w:rFonts w:cs="Calibri"/>
        </w:rPr>
      </w:pPr>
    </w:p>
    <w:p w14:paraId="7B80216A" w14:textId="77777777" w:rsidR="00C73D25" w:rsidRDefault="00C73D25" w:rsidP="00C73D25">
      <w:pPr>
        <w:pStyle w:val="Sinespaciado"/>
        <w:jc w:val="both"/>
        <w:rPr>
          <w:rFonts w:cs="Calibri"/>
        </w:rPr>
      </w:pPr>
    </w:p>
    <w:p w14:paraId="2F6700B4" w14:textId="7ABF0A10" w:rsidR="00C73D25" w:rsidRPr="00C73D25" w:rsidRDefault="00C73D25" w:rsidP="00C73D25">
      <w:pPr>
        <w:pStyle w:val="Sinespaciado"/>
        <w:jc w:val="both"/>
        <w:rPr>
          <w:rFonts w:cs="Calibri"/>
        </w:rPr>
      </w:pPr>
      <w:proofErr w:type="spellStart"/>
      <w:r>
        <w:rPr>
          <w:rFonts w:cs="Calibri"/>
        </w:rPr>
        <w:t>G</w:t>
      </w:r>
      <w:r w:rsidRPr="00C73D25">
        <w:rPr>
          <w:rFonts w:cs="Calibri"/>
        </w:rPr>
        <w:t>eoproductos</w:t>
      </w:r>
      <w:proofErr w:type="spellEnd"/>
      <w:r w:rsidRPr="00C73D25">
        <w:rPr>
          <w:rFonts w:cs="Calibri"/>
        </w:rPr>
        <w:t>, fortalecer alianzas estratégicas y posicionar al territorio como un referente de turismo sostenible, cultural y de naturaleza”.</w:t>
      </w:r>
    </w:p>
    <w:p w14:paraId="1D92C465" w14:textId="77777777" w:rsidR="00C73D25" w:rsidRPr="00C73D25" w:rsidRDefault="00C73D25" w:rsidP="00C73D25">
      <w:pPr>
        <w:pStyle w:val="Sinespaciado"/>
        <w:jc w:val="both"/>
        <w:rPr>
          <w:rFonts w:cs="Calibri"/>
        </w:rPr>
      </w:pPr>
    </w:p>
    <w:p w14:paraId="6FAC6B9A" w14:textId="77777777" w:rsidR="00C73D25" w:rsidRPr="00C73D25" w:rsidRDefault="00C73D25" w:rsidP="00C73D25">
      <w:pPr>
        <w:pStyle w:val="Sinespaciado"/>
        <w:jc w:val="both"/>
        <w:rPr>
          <w:rFonts w:cs="Calibri"/>
        </w:rPr>
      </w:pPr>
      <w:r w:rsidRPr="00C73D25">
        <w:rPr>
          <w:rFonts w:cs="Calibri"/>
        </w:rPr>
        <w:t>Durante estos días, la delegación de Tungurahua ha desarrollado una amplia agenda de medios, orientada a promocionar la oferta turística provincial y difundir el valor del Geoparque Mundial de la Unesco Volcán Tungurahua, consolidando su posicionamiento como un destino emblemático del turismo sostenible en el Ecuador.</w:t>
      </w:r>
    </w:p>
    <w:p w14:paraId="44A8EBCE" w14:textId="77777777" w:rsidR="00C73D25" w:rsidRPr="00C73D25" w:rsidRDefault="00C73D25" w:rsidP="00C73D25">
      <w:pPr>
        <w:pStyle w:val="Sinespaciado"/>
        <w:jc w:val="both"/>
        <w:rPr>
          <w:rFonts w:cs="Calibri"/>
        </w:rPr>
      </w:pPr>
    </w:p>
    <w:p w14:paraId="1F6B173A" w14:textId="77777777" w:rsidR="00C73D25" w:rsidRPr="00C73D25" w:rsidRDefault="00C73D25" w:rsidP="00C73D25">
      <w:pPr>
        <w:pStyle w:val="Sinespaciado"/>
        <w:jc w:val="both"/>
        <w:rPr>
          <w:rFonts w:cs="Calibri"/>
        </w:rPr>
      </w:pPr>
    </w:p>
    <w:p w14:paraId="7EA6D740" w14:textId="77777777" w:rsidR="00C73D25" w:rsidRDefault="00C73D25" w:rsidP="00F65CCC">
      <w:pPr>
        <w:pStyle w:val="Sinespaciado"/>
        <w:rPr>
          <w:rFonts w:cs="Calibri"/>
        </w:rPr>
      </w:pPr>
    </w:p>
    <w:p w14:paraId="347CE5C4" w14:textId="77777777" w:rsidR="00C73D25" w:rsidRDefault="00C73D25" w:rsidP="00F65CCC">
      <w:pPr>
        <w:pStyle w:val="Sinespaciado"/>
        <w:rPr>
          <w:rFonts w:cs="Calibri"/>
          <w:b/>
          <w:bCs/>
          <w:sz w:val="24"/>
          <w:szCs w:val="24"/>
        </w:rPr>
      </w:pPr>
    </w:p>
    <w:p w14:paraId="50913F41" w14:textId="77777777" w:rsidR="00C73D25" w:rsidRDefault="00C73D25" w:rsidP="00F65CCC">
      <w:pPr>
        <w:pStyle w:val="Sinespaciado"/>
        <w:rPr>
          <w:rFonts w:cs="Calibri"/>
          <w:b/>
          <w:bCs/>
          <w:sz w:val="24"/>
          <w:szCs w:val="24"/>
        </w:rPr>
      </w:pPr>
    </w:p>
    <w:p w14:paraId="4AA0ED71" w14:textId="77777777" w:rsidR="00C73D25" w:rsidRDefault="00C73D25" w:rsidP="00F65CCC">
      <w:pPr>
        <w:pStyle w:val="Sinespaciado"/>
        <w:rPr>
          <w:rFonts w:cs="Calibri"/>
          <w:b/>
          <w:bCs/>
          <w:sz w:val="24"/>
          <w:szCs w:val="24"/>
        </w:rPr>
      </w:pPr>
    </w:p>
    <w:p w14:paraId="1CE6A3C7" w14:textId="77777777" w:rsidR="00C73D25" w:rsidRDefault="00C73D25" w:rsidP="00F65CCC">
      <w:pPr>
        <w:pStyle w:val="Sinespaciado"/>
        <w:rPr>
          <w:rFonts w:cs="Calibri"/>
          <w:b/>
          <w:bCs/>
          <w:sz w:val="24"/>
          <w:szCs w:val="24"/>
        </w:rPr>
      </w:pPr>
    </w:p>
    <w:p w14:paraId="5D71671E" w14:textId="77777777" w:rsidR="00C73D25" w:rsidRDefault="00C73D25" w:rsidP="00F65CCC">
      <w:pPr>
        <w:pStyle w:val="Sinespaciado"/>
        <w:rPr>
          <w:rFonts w:cs="Calibri"/>
          <w:b/>
          <w:bCs/>
          <w:sz w:val="24"/>
          <w:szCs w:val="24"/>
        </w:rPr>
      </w:pPr>
    </w:p>
    <w:p w14:paraId="74D16D5D" w14:textId="77777777" w:rsidR="00C73D25" w:rsidRDefault="00C73D25" w:rsidP="00F65CCC">
      <w:pPr>
        <w:pStyle w:val="Sinespaciado"/>
        <w:rPr>
          <w:rFonts w:cs="Calibri"/>
          <w:b/>
          <w:bCs/>
          <w:sz w:val="24"/>
          <w:szCs w:val="24"/>
        </w:rPr>
      </w:pPr>
    </w:p>
    <w:p w14:paraId="18D68C45" w14:textId="77777777" w:rsidR="00C73D25" w:rsidRDefault="00C73D25" w:rsidP="00F65CCC">
      <w:pPr>
        <w:pStyle w:val="Sinespaciado"/>
        <w:rPr>
          <w:rFonts w:cs="Calibri"/>
          <w:b/>
          <w:bCs/>
          <w:sz w:val="24"/>
          <w:szCs w:val="24"/>
        </w:rPr>
      </w:pPr>
    </w:p>
    <w:p w14:paraId="37399AC4" w14:textId="77777777" w:rsidR="00C73D25" w:rsidRDefault="00C73D25" w:rsidP="00F65CCC">
      <w:pPr>
        <w:pStyle w:val="Sinespaciado"/>
        <w:rPr>
          <w:rFonts w:cs="Calibri"/>
          <w:b/>
          <w:bCs/>
          <w:sz w:val="24"/>
          <w:szCs w:val="24"/>
        </w:rPr>
      </w:pPr>
    </w:p>
    <w:p w14:paraId="03B939D9" w14:textId="77777777" w:rsidR="00C73D25" w:rsidRDefault="00C73D25" w:rsidP="00F65CCC">
      <w:pPr>
        <w:pStyle w:val="Sinespaciado"/>
        <w:rPr>
          <w:rFonts w:cs="Calibri"/>
          <w:b/>
          <w:bCs/>
          <w:sz w:val="24"/>
          <w:szCs w:val="24"/>
        </w:rPr>
      </w:pPr>
    </w:p>
    <w:p w14:paraId="648973A9" w14:textId="77777777" w:rsidR="00C73D25" w:rsidRDefault="00C73D25" w:rsidP="00F65CCC">
      <w:pPr>
        <w:pStyle w:val="Sinespaciado"/>
        <w:rPr>
          <w:rFonts w:cs="Calibri"/>
          <w:b/>
          <w:bCs/>
          <w:sz w:val="24"/>
          <w:szCs w:val="24"/>
        </w:rPr>
      </w:pPr>
    </w:p>
    <w:p w14:paraId="5CE9CBA3" w14:textId="77777777" w:rsidR="00C73D25" w:rsidRDefault="00C73D25" w:rsidP="00F65CCC">
      <w:pPr>
        <w:pStyle w:val="Sinespaciado"/>
        <w:rPr>
          <w:rFonts w:cs="Calibri"/>
          <w:b/>
          <w:bCs/>
          <w:sz w:val="24"/>
          <w:szCs w:val="24"/>
        </w:rPr>
      </w:pPr>
    </w:p>
    <w:p w14:paraId="03035F3A" w14:textId="77777777" w:rsidR="00C73D25" w:rsidRDefault="00C73D25" w:rsidP="00F65CCC">
      <w:pPr>
        <w:pStyle w:val="Sinespaciado"/>
        <w:rPr>
          <w:rFonts w:cs="Calibri"/>
          <w:b/>
          <w:bCs/>
          <w:sz w:val="24"/>
          <w:szCs w:val="24"/>
        </w:rPr>
      </w:pPr>
    </w:p>
    <w:p w14:paraId="5C989FBC" w14:textId="77777777" w:rsidR="00C73D25" w:rsidRDefault="00C73D25" w:rsidP="00F65CCC">
      <w:pPr>
        <w:pStyle w:val="Sinespaciado"/>
        <w:rPr>
          <w:rFonts w:cs="Calibri"/>
          <w:b/>
          <w:bCs/>
          <w:sz w:val="24"/>
          <w:szCs w:val="24"/>
        </w:rPr>
      </w:pPr>
    </w:p>
    <w:p w14:paraId="16CF3EF1" w14:textId="77777777" w:rsidR="00C73D25" w:rsidRDefault="00C73D25" w:rsidP="00F65CCC">
      <w:pPr>
        <w:pStyle w:val="Sinespaciado"/>
        <w:rPr>
          <w:rFonts w:cs="Calibri"/>
          <w:b/>
          <w:bCs/>
          <w:sz w:val="24"/>
          <w:szCs w:val="24"/>
        </w:rPr>
      </w:pPr>
    </w:p>
    <w:p w14:paraId="6AB166A5" w14:textId="77777777" w:rsidR="00C73D25" w:rsidRDefault="00C73D25" w:rsidP="00F65CCC">
      <w:pPr>
        <w:pStyle w:val="Sinespaciado"/>
        <w:rPr>
          <w:rFonts w:cs="Calibri"/>
          <w:b/>
          <w:bCs/>
          <w:sz w:val="24"/>
          <w:szCs w:val="24"/>
        </w:rPr>
      </w:pPr>
    </w:p>
    <w:p w14:paraId="68E5E604" w14:textId="77777777" w:rsidR="00C73D25" w:rsidRDefault="00C73D25" w:rsidP="00F65CCC">
      <w:pPr>
        <w:pStyle w:val="Sinespaciado"/>
        <w:rPr>
          <w:rFonts w:cs="Calibri"/>
          <w:b/>
          <w:bCs/>
          <w:sz w:val="24"/>
          <w:szCs w:val="24"/>
        </w:rPr>
      </w:pPr>
    </w:p>
    <w:p w14:paraId="239DDAE8" w14:textId="77777777" w:rsidR="00C73D25" w:rsidRDefault="00C73D25" w:rsidP="00F65CCC">
      <w:pPr>
        <w:pStyle w:val="Sinespaciado"/>
        <w:rPr>
          <w:rFonts w:cs="Calibri"/>
          <w:b/>
          <w:bCs/>
          <w:sz w:val="24"/>
          <w:szCs w:val="24"/>
        </w:rPr>
      </w:pPr>
    </w:p>
    <w:p w14:paraId="2F8996EA" w14:textId="77777777" w:rsidR="00C73D25" w:rsidRDefault="00C73D25" w:rsidP="00F65CCC">
      <w:pPr>
        <w:pStyle w:val="Sinespaciado"/>
        <w:rPr>
          <w:rFonts w:cs="Calibri"/>
          <w:b/>
          <w:bCs/>
          <w:sz w:val="24"/>
          <w:szCs w:val="24"/>
        </w:rPr>
      </w:pPr>
    </w:p>
    <w:p w14:paraId="683028D9" w14:textId="77777777" w:rsidR="00C73D25" w:rsidRDefault="00C73D25" w:rsidP="00F65CCC">
      <w:pPr>
        <w:pStyle w:val="Sinespaciado"/>
        <w:rPr>
          <w:rFonts w:cs="Calibri"/>
          <w:b/>
          <w:bCs/>
          <w:sz w:val="24"/>
          <w:szCs w:val="24"/>
        </w:rPr>
      </w:pPr>
    </w:p>
    <w:p w14:paraId="6D45BF9D" w14:textId="77777777" w:rsidR="00C73D25" w:rsidRDefault="00C73D25" w:rsidP="00F65CCC">
      <w:pPr>
        <w:pStyle w:val="Sinespaciado"/>
        <w:rPr>
          <w:rFonts w:cs="Calibri"/>
          <w:b/>
          <w:bCs/>
          <w:sz w:val="24"/>
          <w:szCs w:val="24"/>
        </w:rPr>
      </w:pPr>
    </w:p>
    <w:p w14:paraId="2E087976" w14:textId="77777777" w:rsidR="00C73D25" w:rsidRDefault="00C73D25" w:rsidP="00F65CCC">
      <w:pPr>
        <w:pStyle w:val="Sinespaciado"/>
        <w:rPr>
          <w:rFonts w:cs="Calibri"/>
          <w:b/>
          <w:bCs/>
          <w:sz w:val="24"/>
          <w:szCs w:val="24"/>
        </w:rPr>
      </w:pPr>
    </w:p>
    <w:p w14:paraId="274F1E40" w14:textId="77777777" w:rsidR="00C73D25" w:rsidRDefault="00C73D25" w:rsidP="00F65CCC">
      <w:pPr>
        <w:pStyle w:val="Sinespaciado"/>
        <w:rPr>
          <w:rFonts w:cs="Calibri"/>
          <w:b/>
          <w:bCs/>
          <w:sz w:val="24"/>
          <w:szCs w:val="24"/>
        </w:rPr>
      </w:pPr>
    </w:p>
    <w:p w14:paraId="6DC94FF7" w14:textId="77777777" w:rsidR="00C73D25" w:rsidRDefault="00C73D25" w:rsidP="00F65CCC">
      <w:pPr>
        <w:pStyle w:val="Sinespaciado"/>
        <w:rPr>
          <w:rFonts w:cs="Calibri"/>
          <w:b/>
          <w:bCs/>
          <w:sz w:val="24"/>
          <w:szCs w:val="24"/>
        </w:rPr>
      </w:pPr>
    </w:p>
    <w:p w14:paraId="2C88DCA3" w14:textId="77777777" w:rsidR="00C73D25" w:rsidRDefault="00C73D25" w:rsidP="00F65CCC">
      <w:pPr>
        <w:pStyle w:val="Sinespaciado"/>
        <w:rPr>
          <w:rFonts w:cs="Calibri"/>
          <w:b/>
          <w:bCs/>
          <w:sz w:val="24"/>
          <w:szCs w:val="24"/>
        </w:rPr>
      </w:pPr>
    </w:p>
    <w:p w14:paraId="26241056" w14:textId="77777777" w:rsidR="00C73D25" w:rsidRDefault="00C73D25" w:rsidP="00F65CCC">
      <w:pPr>
        <w:pStyle w:val="Sinespaciado"/>
        <w:rPr>
          <w:rFonts w:cs="Calibri"/>
          <w:b/>
          <w:bCs/>
          <w:sz w:val="24"/>
          <w:szCs w:val="24"/>
        </w:rPr>
      </w:pPr>
    </w:p>
    <w:p w14:paraId="467B9D1B" w14:textId="77777777" w:rsidR="00C73D25" w:rsidRDefault="00C73D25" w:rsidP="00F65CCC">
      <w:pPr>
        <w:pStyle w:val="Sinespaciado"/>
        <w:rPr>
          <w:rFonts w:cs="Calibri"/>
          <w:b/>
          <w:bCs/>
          <w:sz w:val="24"/>
          <w:szCs w:val="24"/>
        </w:rPr>
      </w:pPr>
    </w:p>
    <w:p w14:paraId="2D1360F0" w14:textId="77777777" w:rsidR="00C73D25" w:rsidRDefault="00C73D25" w:rsidP="00F65CCC">
      <w:pPr>
        <w:pStyle w:val="Sinespaciado"/>
        <w:rPr>
          <w:rFonts w:cs="Calibri"/>
          <w:b/>
          <w:bCs/>
          <w:sz w:val="24"/>
          <w:szCs w:val="24"/>
        </w:rPr>
      </w:pPr>
    </w:p>
    <w:p w14:paraId="0B4B1DB6" w14:textId="77777777" w:rsidR="00C73D25" w:rsidRDefault="00C73D25" w:rsidP="00F65CCC">
      <w:pPr>
        <w:pStyle w:val="Sinespaciado"/>
        <w:rPr>
          <w:rFonts w:cs="Calibri"/>
          <w:b/>
          <w:bCs/>
          <w:sz w:val="24"/>
          <w:szCs w:val="24"/>
        </w:rPr>
      </w:pPr>
    </w:p>
    <w:p w14:paraId="5F045BBD" w14:textId="77777777" w:rsidR="00C73D25" w:rsidRDefault="00C73D25" w:rsidP="00F65CCC">
      <w:pPr>
        <w:pStyle w:val="Sinespaciado"/>
        <w:rPr>
          <w:rFonts w:cs="Calibri"/>
          <w:b/>
          <w:bCs/>
          <w:sz w:val="24"/>
          <w:szCs w:val="24"/>
        </w:rPr>
      </w:pPr>
    </w:p>
    <w:p w14:paraId="50959CDD" w14:textId="77777777" w:rsidR="00C73D25" w:rsidRDefault="00C73D25" w:rsidP="00F65CCC">
      <w:pPr>
        <w:pStyle w:val="Sinespaciado"/>
        <w:rPr>
          <w:rFonts w:cs="Calibri"/>
          <w:b/>
          <w:bCs/>
          <w:sz w:val="24"/>
          <w:szCs w:val="24"/>
        </w:rPr>
      </w:pPr>
    </w:p>
    <w:p w14:paraId="6C6043F9" w14:textId="77777777" w:rsidR="00C73D25" w:rsidRDefault="00C73D25" w:rsidP="00F65CCC">
      <w:pPr>
        <w:pStyle w:val="Sinespaciado"/>
        <w:rPr>
          <w:rFonts w:cs="Calibri"/>
          <w:b/>
          <w:bCs/>
          <w:sz w:val="24"/>
          <w:szCs w:val="24"/>
        </w:rPr>
      </w:pPr>
    </w:p>
    <w:p w14:paraId="19E8B51D" w14:textId="77777777" w:rsidR="00C73D25" w:rsidRDefault="00C73D25" w:rsidP="00F65CCC">
      <w:pPr>
        <w:pStyle w:val="Sinespaciado"/>
        <w:rPr>
          <w:rFonts w:cs="Calibri"/>
          <w:b/>
          <w:bCs/>
          <w:sz w:val="24"/>
          <w:szCs w:val="24"/>
        </w:rPr>
      </w:pPr>
    </w:p>
    <w:p w14:paraId="296351FF" w14:textId="77777777" w:rsidR="00C73D25" w:rsidRDefault="00C73D25" w:rsidP="00F65CCC">
      <w:pPr>
        <w:pStyle w:val="Sinespaciado"/>
        <w:rPr>
          <w:rFonts w:cs="Calibri"/>
          <w:b/>
          <w:bCs/>
          <w:sz w:val="24"/>
          <w:szCs w:val="24"/>
        </w:rPr>
      </w:pPr>
    </w:p>
    <w:p w14:paraId="4D4D171C" w14:textId="77777777" w:rsidR="00C73D25" w:rsidRDefault="00C73D25" w:rsidP="00F65CCC">
      <w:pPr>
        <w:pStyle w:val="Sinespaciado"/>
        <w:rPr>
          <w:rFonts w:cs="Calibri"/>
          <w:b/>
          <w:bCs/>
          <w:sz w:val="24"/>
          <w:szCs w:val="24"/>
        </w:rPr>
      </w:pPr>
    </w:p>
    <w:p w14:paraId="4501C0F4" w14:textId="35C766D6" w:rsidR="0015773A" w:rsidRPr="007C73D4" w:rsidRDefault="0015773A" w:rsidP="006B070D">
      <w:pPr>
        <w:jc w:val="both"/>
        <w:rPr>
          <w:rFonts w:ascii="Calibri" w:hAnsi="Calibri" w:cs="Calibri"/>
          <w:sz w:val="22"/>
          <w:szCs w:val="22"/>
          <w:lang w:val="es-ES_tradnl"/>
        </w:rPr>
      </w:pPr>
    </w:p>
    <w:p w14:paraId="21F20404" w14:textId="77777777" w:rsidR="00C73D25" w:rsidRPr="00F65CCC" w:rsidRDefault="00C73D25" w:rsidP="006B070D">
      <w:pPr>
        <w:jc w:val="both"/>
        <w:rPr>
          <w:rFonts w:ascii="Calibri" w:hAnsi="Calibri" w:cs="Calibri"/>
          <w:sz w:val="22"/>
          <w:szCs w:val="22"/>
          <w:lang w:val="es-ES_tradnl"/>
        </w:rPr>
      </w:pPr>
    </w:p>
    <w:sectPr w:rsidR="00C73D25" w:rsidRPr="00F65CCC"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B18A" w14:textId="77777777" w:rsidR="00F73A6F" w:rsidRDefault="00F73A6F" w:rsidP="008361BB">
      <w:r>
        <w:separator/>
      </w:r>
    </w:p>
  </w:endnote>
  <w:endnote w:type="continuationSeparator" w:id="0">
    <w:p w14:paraId="7B856DAF" w14:textId="77777777" w:rsidR="00F73A6F" w:rsidRDefault="00F73A6F"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16D86" w14:textId="77777777" w:rsidR="00F73A6F" w:rsidRDefault="00F73A6F" w:rsidP="008361BB">
      <w:r>
        <w:separator/>
      </w:r>
    </w:p>
  </w:footnote>
  <w:footnote w:type="continuationSeparator" w:id="0">
    <w:p w14:paraId="0538233C" w14:textId="77777777" w:rsidR="00F73A6F" w:rsidRDefault="00F73A6F"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18B"/>
    <w:multiLevelType w:val="hybridMultilevel"/>
    <w:tmpl w:val="EC9804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3"/>
  </w:num>
  <w:num w:numId="2" w16cid:durableId="895701370">
    <w:abstractNumId w:val="1"/>
  </w:num>
  <w:num w:numId="3" w16cid:durableId="1658024722">
    <w:abstractNumId w:val="2"/>
  </w:num>
  <w:num w:numId="4" w16cid:durableId="96635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11E93"/>
    <w:rsid w:val="00035AC4"/>
    <w:rsid w:val="000F5273"/>
    <w:rsid w:val="001138BB"/>
    <w:rsid w:val="0012104E"/>
    <w:rsid w:val="001347C6"/>
    <w:rsid w:val="00137016"/>
    <w:rsid w:val="001551B4"/>
    <w:rsid w:val="0015773A"/>
    <w:rsid w:val="00172186"/>
    <w:rsid w:val="001B378E"/>
    <w:rsid w:val="00224663"/>
    <w:rsid w:val="00267E35"/>
    <w:rsid w:val="00277FD3"/>
    <w:rsid w:val="002F1516"/>
    <w:rsid w:val="003056E8"/>
    <w:rsid w:val="0032182E"/>
    <w:rsid w:val="00322250"/>
    <w:rsid w:val="00354587"/>
    <w:rsid w:val="00354C43"/>
    <w:rsid w:val="00374012"/>
    <w:rsid w:val="00381D37"/>
    <w:rsid w:val="003C6BD4"/>
    <w:rsid w:val="003C7792"/>
    <w:rsid w:val="003D64FC"/>
    <w:rsid w:val="003E72FC"/>
    <w:rsid w:val="003F6802"/>
    <w:rsid w:val="00427686"/>
    <w:rsid w:val="00465118"/>
    <w:rsid w:val="00474340"/>
    <w:rsid w:val="0048511B"/>
    <w:rsid w:val="00493215"/>
    <w:rsid w:val="004A1A4D"/>
    <w:rsid w:val="004C6B91"/>
    <w:rsid w:val="00502C24"/>
    <w:rsid w:val="00533C95"/>
    <w:rsid w:val="00550002"/>
    <w:rsid w:val="00554BE2"/>
    <w:rsid w:val="00595F2D"/>
    <w:rsid w:val="005A5C69"/>
    <w:rsid w:val="00613EBA"/>
    <w:rsid w:val="00622C68"/>
    <w:rsid w:val="00641180"/>
    <w:rsid w:val="006414C7"/>
    <w:rsid w:val="00672C8D"/>
    <w:rsid w:val="006B070D"/>
    <w:rsid w:val="006B5108"/>
    <w:rsid w:val="006C1836"/>
    <w:rsid w:val="006D1644"/>
    <w:rsid w:val="006F1880"/>
    <w:rsid w:val="006F3A1F"/>
    <w:rsid w:val="00750C44"/>
    <w:rsid w:val="00787AA8"/>
    <w:rsid w:val="00795547"/>
    <w:rsid w:val="0079600B"/>
    <w:rsid w:val="007A44EA"/>
    <w:rsid w:val="007B4795"/>
    <w:rsid w:val="007C73D4"/>
    <w:rsid w:val="007D38E5"/>
    <w:rsid w:val="00822829"/>
    <w:rsid w:val="008361BB"/>
    <w:rsid w:val="008618B4"/>
    <w:rsid w:val="008A60E2"/>
    <w:rsid w:val="008B4AFD"/>
    <w:rsid w:val="008E7674"/>
    <w:rsid w:val="009513F2"/>
    <w:rsid w:val="00962E74"/>
    <w:rsid w:val="0099578F"/>
    <w:rsid w:val="009D5EB7"/>
    <w:rsid w:val="00A03755"/>
    <w:rsid w:val="00A17A9F"/>
    <w:rsid w:val="00A20628"/>
    <w:rsid w:val="00A21353"/>
    <w:rsid w:val="00A73DF4"/>
    <w:rsid w:val="00A83475"/>
    <w:rsid w:val="00AE70A7"/>
    <w:rsid w:val="00AF09E3"/>
    <w:rsid w:val="00AF7FCE"/>
    <w:rsid w:val="00B13276"/>
    <w:rsid w:val="00B417FD"/>
    <w:rsid w:val="00B5467E"/>
    <w:rsid w:val="00B64A9D"/>
    <w:rsid w:val="00BA21B2"/>
    <w:rsid w:val="00BA3FCA"/>
    <w:rsid w:val="00BA5FE5"/>
    <w:rsid w:val="00BB6608"/>
    <w:rsid w:val="00BC0C3D"/>
    <w:rsid w:val="00BE4629"/>
    <w:rsid w:val="00BF004F"/>
    <w:rsid w:val="00C33DCE"/>
    <w:rsid w:val="00C46FB5"/>
    <w:rsid w:val="00C73D25"/>
    <w:rsid w:val="00CA2E87"/>
    <w:rsid w:val="00CA682D"/>
    <w:rsid w:val="00CC4F1B"/>
    <w:rsid w:val="00CE5781"/>
    <w:rsid w:val="00CF747F"/>
    <w:rsid w:val="00D05591"/>
    <w:rsid w:val="00D6123C"/>
    <w:rsid w:val="00DE620F"/>
    <w:rsid w:val="00E01399"/>
    <w:rsid w:val="00E17F21"/>
    <w:rsid w:val="00E22C82"/>
    <w:rsid w:val="00E449F4"/>
    <w:rsid w:val="00E75551"/>
    <w:rsid w:val="00E81A88"/>
    <w:rsid w:val="00EA0152"/>
    <w:rsid w:val="00EA36DC"/>
    <w:rsid w:val="00F05506"/>
    <w:rsid w:val="00F14E7F"/>
    <w:rsid w:val="00F24F7D"/>
    <w:rsid w:val="00F2640C"/>
    <w:rsid w:val="00F36F52"/>
    <w:rsid w:val="00F37C57"/>
    <w:rsid w:val="00F6429C"/>
    <w:rsid w:val="00F65CCC"/>
    <w:rsid w:val="00F73A6F"/>
    <w:rsid w:val="00FB0762"/>
    <w:rsid w:val="00FB6842"/>
    <w:rsid w:val="00FC1D70"/>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528</Words>
  <Characters>2909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37</cp:revision>
  <dcterms:created xsi:type="dcterms:W3CDTF">2025-10-16T15:28:00Z</dcterms:created>
  <dcterms:modified xsi:type="dcterms:W3CDTF">2026-04-01T14:38:00Z</dcterms:modified>
</cp:coreProperties>
</file>