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7C304" w14:textId="253EF720" w:rsidR="00622C68" w:rsidRDefault="00BE0103" w:rsidP="00BE0103">
      <w:pPr>
        <w:tabs>
          <w:tab w:val="left" w:pos="3090"/>
        </w:tabs>
      </w:pPr>
      <w:r>
        <w:tab/>
      </w:r>
    </w:p>
    <w:p w14:paraId="121A133C" w14:textId="77777777" w:rsidR="00BE0103" w:rsidRDefault="00BE0103" w:rsidP="00BE0103">
      <w:pPr>
        <w:tabs>
          <w:tab w:val="left" w:pos="3090"/>
        </w:tabs>
      </w:pPr>
    </w:p>
    <w:p w14:paraId="71265E11" w14:textId="77777777" w:rsidR="00BE0103" w:rsidRDefault="00BE0103" w:rsidP="00BE0103">
      <w:pPr>
        <w:tabs>
          <w:tab w:val="left" w:pos="3090"/>
        </w:tabs>
      </w:pPr>
    </w:p>
    <w:p w14:paraId="32220399" w14:textId="77777777" w:rsidR="00997C95" w:rsidRDefault="00997C95" w:rsidP="00BE0103">
      <w:pPr>
        <w:pStyle w:val="Sinespaciado"/>
        <w:jc w:val="center"/>
        <w:rPr>
          <w:rFonts w:cs="Calibri"/>
          <w:b/>
          <w:bCs/>
          <w:sz w:val="24"/>
          <w:szCs w:val="24"/>
        </w:rPr>
      </w:pPr>
    </w:p>
    <w:p w14:paraId="0BC3A8E8" w14:textId="0EF04209" w:rsidR="00BE0103" w:rsidRPr="00BE0103" w:rsidRDefault="00BE0103" w:rsidP="00BE0103">
      <w:pPr>
        <w:pStyle w:val="Sinespaciado"/>
        <w:jc w:val="center"/>
        <w:rPr>
          <w:rFonts w:cs="Calibri"/>
          <w:b/>
          <w:bCs/>
          <w:sz w:val="24"/>
          <w:szCs w:val="24"/>
        </w:rPr>
      </w:pPr>
      <w:r w:rsidRPr="00BE0103">
        <w:rPr>
          <w:rFonts w:cs="Calibri"/>
          <w:b/>
          <w:bCs/>
          <w:sz w:val="24"/>
          <w:szCs w:val="24"/>
        </w:rPr>
        <w:t>BOLETÍN DE PRENSA</w:t>
      </w:r>
    </w:p>
    <w:p w14:paraId="0454BD16" w14:textId="63A01270" w:rsidR="006D3354" w:rsidRPr="008A6CF4" w:rsidRDefault="00BE0103" w:rsidP="008A6CF4">
      <w:pPr>
        <w:pStyle w:val="Sinespaciado"/>
        <w:rPr>
          <w:rFonts w:cs="Calibri"/>
          <w:b/>
          <w:bCs/>
          <w:sz w:val="24"/>
          <w:szCs w:val="24"/>
        </w:rPr>
      </w:pPr>
      <w:r w:rsidRPr="00BE0103">
        <w:rPr>
          <w:rFonts w:cs="Calibri"/>
          <w:b/>
          <w:bCs/>
          <w:sz w:val="24"/>
          <w:szCs w:val="24"/>
        </w:rPr>
        <w:t>HGPT/</w:t>
      </w:r>
      <w:r w:rsidR="00997C95">
        <w:rPr>
          <w:rFonts w:cs="Calibri"/>
          <w:b/>
          <w:bCs/>
          <w:sz w:val="24"/>
          <w:szCs w:val="24"/>
        </w:rPr>
        <w:t>400</w:t>
      </w:r>
      <w:r w:rsidRPr="00BE0103">
        <w:rPr>
          <w:rFonts w:cs="Calibri"/>
          <w:b/>
          <w:bCs/>
          <w:sz w:val="24"/>
          <w:szCs w:val="24"/>
        </w:rPr>
        <w:t>/</w:t>
      </w:r>
      <w:r w:rsidR="00C92198">
        <w:rPr>
          <w:rFonts w:cs="Calibri"/>
          <w:b/>
          <w:bCs/>
          <w:sz w:val="24"/>
          <w:szCs w:val="24"/>
        </w:rPr>
        <w:t>0</w:t>
      </w:r>
      <w:r w:rsidR="00A816A7">
        <w:rPr>
          <w:rFonts w:cs="Calibri"/>
          <w:b/>
          <w:bCs/>
          <w:sz w:val="24"/>
          <w:szCs w:val="24"/>
        </w:rPr>
        <w:t>3</w:t>
      </w:r>
      <w:r w:rsidRPr="00BE0103">
        <w:rPr>
          <w:rFonts w:cs="Calibri"/>
          <w:b/>
          <w:bCs/>
          <w:sz w:val="24"/>
          <w:szCs w:val="24"/>
        </w:rPr>
        <w:t>/0</w:t>
      </w:r>
      <w:r w:rsidR="00C92198">
        <w:rPr>
          <w:rFonts w:cs="Calibri"/>
          <w:b/>
          <w:bCs/>
          <w:sz w:val="24"/>
          <w:szCs w:val="24"/>
        </w:rPr>
        <w:t>6</w:t>
      </w:r>
      <w:r w:rsidRPr="00BE0103">
        <w:rPr>
          <w:rFonts w:cs="Calibri"/>
          <w:b/>
          <w:bCs/>
          <w:sz w:val="24"/>
          <w:szCs w:val="24"/>
        </w:rPr>
        <w:t>/2025</w:t>
      </w:r>
    </w:p>
    <w:p w14:paraId="1046ABD5" w14:textId="77777777" w:rsidR="003F3FBF" w:rsidRDefault="003F3FBF" w:rsidP="00C92198">
      <w:pPr>
        <w:tabs>
          <w:tab w:val="left" w:pos="3090"/>
        </w:tabs>
        <w:jc w:val="both"/>
        <w:rPr>
          <w:rFonts w:ascii="Calibri" w:hAnsi="Calibri" w:cs="Calibri"/>
          <w:sz w:val="22"/>
          <w:szCs w:val="22"/>
        </w:rPr>
      </w:pPr>
    </w:p>
    <w:p w14:paraId="2FEBA32C" w14:textId="500625B9" w:rsidR="003F3FBF" w:rsidRDefault="003F3FBF" w:rsidP="003F3FBF">
      <w:pPr>
        <w:tabs>
          <w:tab w:val="left" w:pos="3090"/>
        </w:tabs>
        <w:jc w:val="both"/>
        <w:rPr>
          <w:rFonts w:ascii="Calibri" w:hAnsi="Calibri" w:cs="Calibri"/>
          <w:sz w:val="22"/>
          <w:szCs w:val="22"/>
        </w:rPr>
      </w:pPr>
    </w:p>
    <w:p w14:paraId="0BCF123D" w14:textId="77777777" w:rsidR="00997C95" w:rsidRDefault="00B97CF2" w:rsidP="00B97CF2">
      <w:pPr>
        <w:tabs>
          <w:tab w:val="left" w:pos="3090"/>
        </w:tabs>
        <w:jc w:val="center"/>
        <w:rPr>
          <w:rFonts w:ascii="Calibri" w:hAnsi="Calibri" w:cs="Calibri"/>
          <w:b/>
          <w:bCs/>
          <w:sz w:val="22"/>
          <w:szCs w:val="22"/>
        </w:rPr>
      </w:pPr>
      <w:r w:rsidRPr="00B97CF2">
        <w:rPr>
          <w:rFonts w:ascii="Calibri" w:hAnsi="Calibri" w:cs="Calibri"/>
          <w:b/>
          <w:bCs/>
          <w:sz w:val="22"/>
          <w:szCs w:val="22"/>
        </w:rPr>
        <w:t>SISTEMA REGIONAL HUALCANGA DE QUERO CONTARÁ CON MODERNA</w:t>
      </w:r>
    </w:p>
    <w:p w14:paraId="4A0565C8" w14:textId="3E5CDE75" w:rsidR="00B97CF2" w:rsidRPr="00B97CF2" w:rsidRDefault="00B97CF2" w:rsidP="00B97CF2">
      <w:pPr>
        <w:tabs>
          <w:tab w:val="left" w:pos="3090"/>
        </w:tabs>
        <w:jc w:val="center"/>
        <w:rPr>
          <w:rFonts w:ascii="Calibri" w:hAnsi="Calibri" w:cs="Calibri"/>
          <w:b/>
          <w:bCs/>
          <w:sz w:val="22"/>
          <w:szCs w:val="22"/>
        </w:rPr>
      </w:pPr>
      <w:r w:rsidRPr="00B97CF2">
        <w:rPr>
          <w:rFonts w:ascii="Calibri" w:hAnsi="Calibri" w:cs="Calibri"/>
          <w:b/>
          <w:bCs/>
          <w:sz w:val="22"/>
          <w:szCs w:val="22"/>
        </w:rPr>
        <w:t xml:space="preserve"> PLANTA POTABILIZADORA DE AGUA POTABLE</w:t>
      </w:r>
    </w:p>
    <w:p w14:paraId="4C1E7CD4" w14:textId="77777777" w:rsidR="00B97CF2" w:rsidRPr="00B97CF2" w:rsidRDefault="00B97CF2" w:rsidP="00B97CF2">
      <w:pPr>
        <w:tabs>
          <w:tab w:val="left" w:pos="3090"/>
        </w:tabs>
        <w:jc w:val="both"/>
        <w:rPr>
          <w:rFonts w:ascii="Calibri" w:hAnsi="Calibri" w:cs="Calibri"/>
          <w:sz w:val="22"/>
          <w:szCs w:val="22"/>
        </w:rPr>
      </w:pPr>
    </w:p>
    <w:p w14:paraId="48A79C51" w14:textId="5C462038" w:rsidR="00B97CF2" w:rsidRPr="00B97CF2" w:rsidRDefault="00B97CF2" w:rsidP="00B97CF2">
      <w:pPr>
        <w:tabs>
          <w:tab w:val="left" w:pos="3090"/>
        </w:tabs>
        <w:jc w:val="both"/>
        <w:rPr>
          <w:rFonts w:ascii="Calibri" w:hAnsi="Calibri" w:cs="Calibri"/>
          <w:sz w:val="22"/>
          <w:szCs w:val="22"/>
        </w:rPr>
      </w:pPr>
      <w:r w:rsidRPr="00B97CF2">
        <w:rPr>
          <w:rFonts w:ascii="Calibri" w:hAnsi="Calibri" w:cs="Calibri"/>
          <w:sz w:val="22"/>
          <w:szCs w:val="22"/>
        </w:rPr>
        <w:t xml:space="preserve">El bienestar y la salud de las familias del cantón Quero se fortalecen con hechos concretos </w:t>
      </w:r>
      <w:r w:rsidR="00997C95">
        <w:rPr>
          <w:rFonts w:ascii="Calibri" w:hAnsi="Calibri" w:cs="Calibri"/>
          <w:sz w:val="22"/>
          <w:szCs w:val="22"/>
        </w:rPr>
        <w:t>a</w:t>
      </w:r>
      <w:r w:rsidRPr="00B97CF2">
        <w:rPr>
          <w:rFonts w:ascii="Calibri" w:hAnsi="Calibri" w:cs="Calibri"/>
          <w:sz w:val="22"/>
          <w:szCs w:val="22"/>
        </w:rPr>
        <w:t xml:space="preserve"> través de un convenio de cooperación interinstitucional tripartito</w:t>
      </w:r>
      <w:r w:rsidR="00997C95">
        <w:rPr>
          <w:rFonts w:ascii="Calibri" w:hAnsi="Calibri" w:cs="Calibri"/>
          <w:sz w:val="22"/>
          <w:szCs w:val="22"/>
        </w:rPr>
        <w:t>:</w:t>
      </w:r>
      <w:r w:rsidRPr="00B97CF2">
        <w:rPr>
          <w:rFonts w:ascii="Calibri" w:hAnsi="Calibri" w:cs="Calibri"/>
          <w:sz w:val="22"/>
          <w:szCs w:val="22"/>
        </w:rPr>
        <w:t xml:space="preserve"> el Gobierno Provincial de Tungurahua, el Gobierno Autónomo Descentralizado Municipal de Quero y la Junta Administradora de Agua Potable y Saneamiento Regional Hualcanga llevan adelante el proyecto de suministro, instalación, pruebas y puesta en funcionamiento de una Planta Modular Compacta de Agua Potable con capacidad de 121 litros por segundo.</w:t>
      </w:r>
    </w:p>
    <w:p w14:paraId="6124BE51" w14:textId="77777777" w:rsidR="00B97CF2" w:rsidRPr="00B97CF2" w:rsidRDefault="00B97CF2" w:rsidP="00B97CF2">
      <w:pPr>
        <w:tabs>
          <w:tab w:val="left" w:pos="3090"/>
        </w:tabs>
        <w:jc w:val="both"/>
        <w:rPr>
          <w:rFonts w:ascii="Calibri" w:hAnsi="Calibri" w:cs="Calibri"/>
          <w:sz w:val="22"/>
          <w:szCs w:val="22"/>
        </w:rPr>
      </w:pPr>
    </w:p>
    <w:p w14:paraId="59A62308" w14:textId="77777777" w:rsidR="00B97CF2" w:rsidRPr="00B97CF2" w:rsidRDefault="00B97CF2" w:rsidP="00B97CF2">
      <w:pPr>
        <w:tabs>
          <w:tab w:val="left" w:pos="3090"/>
        </w:tabs>
        <w:jc w:val="both"/>
        <w:rPr>
          <w:rFonts w:ascii="Calibri" w:hAnsi="Calibri" w:cs="Calibri"/>
          <w:sz w:val="22"/>
          <w:szCs w:val="22"/>
        </w:rPr>
      </w:pPr>
      <w:r w:rsidRPr="00B97CF2">
        <w:rPr>
          <w:rFonts w:ascii="Calibri" w:hAnsi="Calibri" w:cs="Calibri"/>
          <w:sz w:val="22"/>
          <w:szCs w:val="22"/>
        </w:rPr>
        <w:t>Esta importante obra, que representa una inversión total de 280.000 dólares, es una muestra del compromiso de la actual administración provincial, liderada por el prefecto Dr. Manuel Caizabanda, con la salud, la calidad de vida y el desarrollo del sector rural.</w:t>
      </w:r>
    </w:p>
    <w:p w14:paraId="559AE28A" w14:textId="77777777" w:rsidR="00B97CF2" w:rsidRPr="00B97CF2" w:rsidRDefault="00B97CF2" w:rsidP="00B97CF2">
      <w:pPr>
        <w:tabs>
          <w:tab w:val="left" w:pos="3090"/>
        </w:tabs>
        <w:jc w:val="both"/>
        <w:rPr>
          <w:rFonts w:ascii="Calibri" w:hAnsi="Calibri" w:cs="Calibri"/>
          <w:sz w:val="22"/>
          <w:szCs w:val="22"/>
        </w:rPr>
      </w:pPr>
    </w:p>
    <w:p w14:paraId="1C6E089F" w14:textId="1A94FA92" w:rsidR="00B97CF2" w:rsidRPr="00B97CF2" w:rsidRDefault="00B97CF2" w:rsidP="00B97CF2">
      <w:pPr>
        <w:tabs>
          <w:tab w:val="left" w:pos="3090"/>
        </w:tabs>
        <w:jc w:val="both"/>
        <w:rPr>
          <w:rFonts w:ascii="Calibri" w:hAnsi="Calibri" w:cs="Calibri"/>
          <w:sz w:val="22"/>
          <w:szCs w:val="22"/>
        </w:rPr>
      </w:pPr>
      <w:r w:rsidRPr="00B97CF2">
        <w:rPr>
          <w:rFonts w:ascii="Calibri" w:hAnsi="Calibri" w:cs="Calibri"/>
          <w:sz w:val="22"/>
          <w:szCs w:val="22"/>
        </w:rPr>
        <w:t>La distribución de los aportes económicos es la siguiente:</w:t>
      </w:r>
      <w:r w:rsidR="00997C95">
        <w:rPr>
          <w:rFonts w:ascii="Calibri" w:hAnsi="Calibri" w:cs="Calibri"/>
          <w:sz w:val="22"/>
          <w:szCs w:val="22"/>
        </w:rPr>
        <w:t xml:space="preserve"> el </w:t>
      </w:r>
      <w:r w:rsidRPr="00B97CF2">
        <w:rPr>
          <w:rFonts w:ascii="Calibri" w:hAnsi="Calibri" w:cs="Calibri"/>
          <w:sz w:val="22"/>
          <w:szCs w:val="22"/>
        </w:rPr>
        <w:t>Gobierno Provincial de Tungurahua: 145.000 dólares (estudios, contratación y fiscalización de la obra)</w:t>
      </w:r>
      <w:r w:rsidR="00997C95">
        <w:rPr>
          <w:rFonts w:ascii="Calibri" w:hAnsi="Calibri" w:cs="Calibri"/>
          <w:sz w:val="22"/>
          <w:szCs w:val="22"/>
        </w:rPr>
        <w:t xml:space="preserve">; </w:t>
      </w:r>
      <w:r w:rsidRPr="00B97CF2">
        <w:rPr>
          <w:rFonts w:ascii="Calibri" w:hAnsi="Calibri" w:cs="Calibri"/>
          <w:sz w:val="22"/>
          <w:szCs w:val="22"/>
        </w:rPr>
        <w:t>GAD Municipal de Quero: 95.000 dólares</w:t>
      </w:r>
      <w:r w:rsidR="00997C95">
        <w:rPr>
          <w:rFonts w:ascii="Calibri" w:hAnsi="Calibri" w:cs="Calibri"/>
          <w:sz w:val="22"/>
          <w:szCs w:val="22"/>
        </w:rPr>
        <w:t xml:space="preserve"> y </w:t>
      </w:r>
      <w:r w:rsidRPr="00B97CF2">
        <w:rPr>
          <w:rFonts w:ascii="Calibri" w:hAnsi="Calibri" w:cs="Calibri"/>
          <w:sz w:val="22"/>
          <w:szCs w:val="22"/>
        </w:rPr>
        <w:t>Junta de Agua Potable Regional Hualcanga</w:t>
      </w:r>
      <w:r w:rsidR="00997C95">
        <w:rPr>
          <w:rFonts w:ascii="Calibri" w:hAnsi="Calibri" w:cs="Calibri"/>
          <w:sz w:val="22"/>
          <w:szCs w:val="22"/>
        </w:rPr>
        <w:t>,</w:t>
      </w:r>
      <w:r w:rsidRPr="00B97CF2">
        <w:rPr>
          <w:rFonts w:ascii="Calibri" w:hAnsi="Calibri" w:cs="Calibri"/>
          <w:sz w:val="22"/>
          <w:szCs w:val="22"/>
        </w:rPr>
        <w:t xml:space="preserve"> 40.000 dólares</w:t>
      </w:r>
    </w:p>
    <w:p w14:paraId="444D74B5" w14:textId="77777777" w:rsidR="00B97CF2" w:rsidRPr="00B97CF2" w:rsidRDefault="00B97CF2" w:rsidP="00B97CF2">
      <w:pPr>
        <w:tabs>
          <w:tab w:val="left" w:pos="3090"/>
        </w:tabs>
        <w:jc w:val="both"/>
        <w:rPr>
          <w:rFonts w:ascii="Calibri" w:hAnsi="Calibri" w:cs="Calibri"/>
          <w:sz w:val="22"/>
          <w:szCs w:val="22"/>
        </w:rPr>
      </w:pPr>
    </w:p>
    <w:p w14:paraId="43581EC9" w14:textId="77777777" w:rsidR="00B97CF2" w:rsidRPr="00B97CF2" w:rsidRDefault="00B97CF2" w:rsidP="00B97CF2">
      <w:pPr>
        <w:tabs>
          <w:tab w:val="left" w:pos="3090"/>
        </w:tabs>
        <w:jc w:val="both"/>
        <w:rPr>
          <w:rFonts w:ascii="Calibri" w:hAnsi="Calibri" w:cs="Calibri"/>
          <w:sz w:val="22"/>
          <w:szCs w:val="22"/>
        </w:rPr>
      </w:pPr>
      <w:r w:rsidRPr="00B97CF2">
        <w:rPr>
          <w:rFonts w:ascii="Calibri" w:hAnsi="Calibri" w:cs="Calibri"/>
          <w:sz w:val="22"/>
          <w:szCs w:val="22"/>
        </w:rPr>
        <w:t>El proyecto se ejecuta en dos etapas:</w:t>
      </w:r>
    </w:p>
    <w:p w14:paraId="26A1EE98" w14:textId="77777777" w:rsidR="00B97CF2" w:rsidRPr="00B97CF2" w:rsidRDefault="00B97CF2" w:rsidP="00B97CF2">
      <w:pPr>
        <w:tabs>
          <w:tab w:val="left" w:pos="3090"/>
        </w:tabs>
        <w:jc w:val="both"/>
        <w:rPr>
          <w:rFonts w:ascii="Calibri" w:hAnsi="Calibri" w:cs="Calibri"/>
          <w:sz w:val="22"/>
          <w:szCs w:val="22"/>
        </w:rPr>
      </w:pPr>
    </w:p>
    <w:p w14:paraId="2D4B1470" w14:textId="77777777" w:rsidR="00B97CF2" w:rsidRPr="00B97CF2" w:rsidRDefault="00B97CF2" w:rsidP="00B97CF2">
      <w:pPr>
        <w:tabs>
          <w:tab w:val="left" w:pos="3090"/>
        </w:tabs>
        <w:jc w:val="both"/>
        <w:rPr>
          <w:rFonts w:ascii="Calibri" w:hAnsi="Calibri" w:cs="Calibri"/>
          <w:sz w:val="22"/>
          <w:szCs w:val="22"/>
        </w:rPr>
      </w:pPr>
      <w:r w:rsidRPr="00B97CF2">
        <w:rPr>
          <w:rFonts w:ascii="Calibri" w:hAnsi="Calibri" w:cs="Calibri"/>
          <w:sz w:val="22"/>
          <w:szCs w:val="22"/>
        </w:rPr>
        <w:t>1. Equipamiento: Se firmó un contrato por 140.162,84 dólares más IVA para el suministro, instalación, pruebas y puesta en marcha de la planta potabilizadora modular. Esta fase tendrá un plazo de 90 días y comenzará en el presente mes, una vez culminadas las obras civiles necesarias para su implementación.</w:t>
      </w:r>
    </w:p>
    <w:p w14:paraId="345BD0A6" w14:textId="77777777" w:rsidR="00B97CF2" w:rsidRPr="00B97CF2" w:rsidRDefault="00B97CF2" w:rsidP="00B97CF2">
      <w:pPr>
        <w:tabs>
          <w:tab w:val="left" w:pos="3090"/>
        </w:tabs>
        <w:jc w:val="both"/>
        <w:rPr>
          <w:rFonts w:ascii="Calibri" w:hAnsi="Calibri" w:cs="Calibri"/>
          <w:sz w:val="22"/>
          <w:szCs w:val="22"/>
        </w:rPr>
      </w:pPr>
    </w:p>
    <w:p w14:paraId="24966FCC" w14:textId="77777777" w:rsidR="00B97CF2" w:rsidRPr="00B97CF2" w:rsidRDefault="00B97CF2" w:rsidP="00B97CF2">
      <w:pPr>
        <w:tabs>
          <w:tab w:val="left" w:pos="3090"/>
        </w:tabs>
        <w:jc w:val="both"/>
        <w:rPr>
          <w:rFonts w:ascii="Calibri" w:hAnsi="Calibri" w:cs="Calibri"/>
          <w:sz w:val="22"/>
          <w:szCs w:val="22"/>
        </w:rPr>
      </w:pPr>
      <w:r w:rsidRPr="00B97CF2">
        <w:rPr>
          <w:rFonts w:ascii="Calibri" w:hAnsi="Calibri" w:cs="Calibri"/>
          <w:sz w:val="22"/>
          <w:szCs w:val="22"/>
        </w:rPr>
        <w:t>2. Obras civiles: En ejecución con una inversión de 74.180,36 dólares más IVA, y un avance del 50%, contempla la construcción de la losa de cimentación, bodega, laboratorio, cerramiento de seguridad y vía de acceso a la planta. Esta etapa finalizará en el mes de julio de este año.</w:t>
      </w:r>
    </w:p>
    <w:p w14:paraId="3A4BB908" w14:textId="77777777" w:rsidR="00B97CF2" w:rsidRPr="00B97CF2" w:rsidRDefault="00B97CF2" w:rsidP="00B97CF2">
      <w:pPr>
        <w:tabs>
          <w:tab w:val="left" w:pos="3090"/>
        </w:tabs>
        <w:jc w:val="both"/>
        <w:rPr>
          <w:rFonts w:ascii="Calibri" w:hAnsi="Calibri" w:cs="Calibri"/>
          <w:sz w:val="22"/>
          <w:szCs w:val="22"/>
        </w:rPr>
      </w:pPr>
    </w:p>
    <w:p w14:paraId="4CE7AC86" w14:textId="5DF0E47D" w:rsidR="00997C95" w:rsidRDefault="00B97CF2" w:rsidP="00B97CF2">
      <w:pPr>
        <w:tabs>
          <w:tab w:val="left" w:pos="3090"/>
        </w:tabs>
        <w:jc w:val="both"/>
        <w:rPr>
          <w:rFonts w:ascii="Calibri" w:hAnsi="Calibri" w:cs="Calibri"/>
          <w:sz w:val="22"/>
          <w:szCs w:val="22"/>
        </w:rPr>
      </w:pPr>
      <w:r w:rsidRPr="00B97CF2">
        <w:rPr>
          <w:rFonts w:ascii="Calibri" w:hAnsi="Calibri" w:cs="Calibri"/>
          <w:sz w:val="22"/>
          <w:szCs w:val="22"/>
        </w:rPr>
        <w:t xml:space="preserve">Julio Contreras, </w:t>
      </w:r>
      <w:proofErr w:type="gramStart"/>
      <w:r w:rsidR="00997C95">
        <w:rPr>
          <w:rFonts w:ascii="Calibri" w:hAnsi="Calibri" w:cs="Calibri"/>
          <w:sz w:val="22"/>
          <w:szCs w:val="22"/>
        </w:rPr>
        <w:t>P</w:t>
      </w:r>
      <w:r w:rsidRPr="00B97CF2">
        <w:rPr>
          <w:rFonts w:ascii="Calibri" w:hAnsi="Calibri" w:cs="Calibri"/>
          <w:sz w:val="22"/>
          <w:szCs w:val="22"/>
        </w:rPr>
        <w:t>residente</w:t>
      </w:r>
      <w:proofErr w:type="gramEnd"/>
      <w:r w:rsidRPr="00B97CF2">
        <w:rPr>
          <w:rFonts w:ascii="Calibri" w:hAnsi="Calibri" w:cs="Calibri"/>
          <w:sz w:val="22"/>
          <w:szCs w:val="22"/>
        </w:rPr>
        <w:t xml:space="preserve"> de la Junta Administradora del Sistema de Agua Potable Regional Hualcanga, agradeció el compromiso de las autoridades por hacer realidad esta obra anhelada por décadas</w:t>
      </w:r>
      <w:r w:rsidR="00997C95">
        <w:rPr>
          <w:rFonts w:ascii="Calibri" w:hAnsi="Calibri" w:cs="Calibri"/>
          <w:sz w:val="22"/>
          <w:szCs w:val="22"/>
        </w:rPr>
        <w:t xml:space="preserve">: </w:t>
      </w:r>
      <w:r w:rsidRPr="00B97CF2">
        <w:rPr>
          <w:rFonts w:ascii="Calibri" w:hAnsi="Calibri" w:cs="Calibri"/>
          <w:sz w:val="22"/>
          <w:szCs w:val="22"/>
        </w:rPr>
        <w:t xml:space="preserve">“Este proyecto representa esperanza, salud y dignidad para nuestras comunidades. </w:t>
      </w:r>
    </w:p>
    <w:p w14:paraId="1A518A5D" w14:textId="6ED26798" w:rsidR="00B97CF2" w:rsidRPr="00B97CF2" w:rsidRDefault="00B97CF2" w:rsidP="00B97CF2">
      <w:pPr>
        <w:tabs>
          <w:tab w:val="left" w:pos="3090"/>
        </w:tabs>
        <w:jc w:val="both"/>
        <w:rPr>
          <w:rFonts w:ascii="Calibri" w:hAnsi="Calibri" w:cs="Calibri"/>
          <w:sz w:val="22"/>
          <w:szCs w:val="22"/>
        </w:rPr>
      </w:pPr>
      <w:r w:rsidRPr="00B97CF2">
        <w:rPr>
          <w:rFonts w:ascii="Calibri" w:hAnsi="Calibri" w:cs="Calibri"/>
          <w:sz w:val="22"/>
          <w:szCs w:val="22"/>
        </w:rPr>
        <w:t>Agradecemos profundamente al Gobierno Provincial de Tungurahua por demostrar responsabilidad y compromiso, fiscalizando con rigurosidad cada detalle. Los habitantes del sector rural respaldamos la voluntad política del Prefecto Caizabanda, quien con hechos fortalece el desarrollo humano y social de la provincia.”</w:t>
      </w:r>
    </w:p>
    <w:p w14:paraId="4535D1C6" w14:textId="77777777" w:rsidR="00B97CF2" w:rsidRPr="00B97CF2" w:rsidRDefault="00B97CF2" w:rsidP="00B97CF2">
      <w:pPr>
        <w:tabs>
          <w:tab w:val="left" w:pos="3090"/>
        </w:tabs>
        <w:jc w:val="both"/>
        <w:rPr>
          <w:rFonts w:ascii="Calibri" w:hAnsi="Calibri" w:cs="Calibri"/>
          <w:sz w:val="22"/>
          <w:szCs w:val="22"/>
        </w:rPr>
      </w:pPr>
    </w:p>
    <w:p w14:paraId="1357BFC6" w14:textId="77777777" w:rsidR="00B97CF2" w:rsidRPr="00B97CF2" w:rsidRDefault="00B97CF2" w:rsidP="00B97CF2">
      <w:pPr>
        <w:tabs>
          <w:tab w:val="left" w:pos="3090"/>
        </w:tabs>
        <w:jc w:val="both"/>
        <w:rPr>
          <w:rFonts w:ascii="Calibri" w:hAnsi="Calibri" w:cs="Calibri"/>
          <w:sz w:val="22"/>
          <w:szCs w:val="22"/>
        </w:rPr>
      </w:pPr>
      <w:r w:rsidRPr="00B97CF2">
        <w:rPr>
          <w:rFonts w:ascii="Calibri" w:hAnsi="Calibri" w:cs="Calibri"/>
          <w:sz w:val="22"/>
          <w:szCs w:val="22"/>
        </w:rPr>
        <w:t>Este convenio tripartito es un ejemplo de lo que se logra cuando existe unidad de objetivos, gestión eficiente y voluntad política en beneficio de las grandes mayorías. La nueva planta garantizará agua segura y de calidad para cientos de familias de Quero y sus alrededores, consolidando el trabajo conjunto por un Tungurahua con servicios básicos dignos, sostenibles y con enfoque rural.</w:t>
      </w:r>
    </w:p>
    <w:p w14:paraId="5F046CD0" w14:textId="77777777" w:rsidR="00997C95" w:rsidRPr="00B97CF2" w:rsidRDefault="00997C95" w:rsidP="00B97CF2">
      <w:pPr>
        <w:tabs>
          <w:tab w:val="left" w:pos="3090"/>
        </w:tabs>
        <w:jc w:val="both"/>
        <w:rPr>
          <w:rFonts w:ascii="Calibri" w:hAnsi="Calibri" w:cs="Calibri"/>
          <w:sz w:val="22"/>
          <w:szCs w:val="22"/>
        </w:rPr>
      </w:pPr>
    </w:p>
    <w:sectPr w:rsidR="00997C95" w:rsidRPr="00B97CF2" w:rsidSect="008361BB">
      <w:headerReference w:type="default" r:id="rId7"/>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F3179" w14:textId="77777777" w:rsidR="00D70B80" w:rsidRDefault="00D70B80" w:rsidP="008361BB">
      <w:r>
        <w:separator/>
      </w:r>
    </w:p>
  </w:endnote>
  <w:endnote w:type="continuationSeparator" w:id="0">
    <w:p w14:paraId="04F5D0A5" w14:textId="77777777" w:rsidR="00D70B80" w:rsidRDefault="00D70B80" w:rsidP="0083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5680A" w14:textId="77777777" w:rsidR="00D70B80" w:rsidRDefault="00D70B80" w:rsidP="008361BB">
      <w:r>
        <w:separator/>
      </w:r>
    </w:p>
  </w:footnote>
  <w:footnote w:type="continuationSeparator" w:id="0">
    <w:p w14:paraId="32D10246" w14:textId="77777777" w:rsidR="00D70B80" w:rsidRDefault="00D70B80" w:rsidP="00836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12321" w14:textId="0C8A62BD" w:rsidR="008361BB" w:rsidRDefault="008361BB">
    <w:pPr>
      <w:pStyle w:val="Encabezado"/>
    </w:pPr>
    <w:r>
      <w:rPr>
        <w:noProof/>
      </w:rPr>
      <w:drawing>
        <wp:anchor distT="0" distB="0" distL="114300" distR="114300" simplePos="0" relativeHeight="251658240" behindDoc="1" locked="0" layoutInCell="1" allowOverlap="1" wp14:anchorId="33FA95A6" wp14:editId="27440977">
          <wp:simplePos x="0" y="0"/>
          <wp:positionH relativeFrom="column">
            <wp:posOffset>-1072578</wp:posOffset>
          </wp:positionH>
          <wp:positionV relativeFrom="paragraph">
            <wp:posOffset>-442023</wp:posOffset>
          </wp:positionV>
          <wp:extent cx="7549468" cy="10670735"/>
          <wp:effectExtent l="0" t="0" r="0" b="0"/>
          <wp:wrapNone/>
          <wp:docPr id="14975998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99871" name="Imagen 1497599871"/>
                  <pic:cNvPicPr/>
                </pic:nvPicPr>
                <pic:blipFill>
                  <a:blip r:embed="rId1">
                    <a:extLst>
                      <a:ext uri="{28A0092B-C50C-407E-A947-70E740481C1C}">
                        <a14:useLocalDpi xmlns:a14="http://schemas.microsoft.com/office/drawing/2010/main" val="0"/>
                      </a:ext>
                    </a:extLst>
                  </a:blip>
                  <a:stretch>
                    <a:fillRect/>
                  </a:stretch>
                </pic:blipFill>
                <pic:spPr>
                  <a:xfrm>
                    <a:off x="0" y="0"/>
                    <a:ext cx="7605806" cy="1075036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AD677B"/>
    <w:multiLevelType w:val="hybridMultilevel"/>
    <w:tmpl w:val="2C3C45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93368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BB"/>
    <w:rsid w:val="00001D2A"/>
    <w:rsid w:val="00026EDE"/>
    <w:rsid w:val="000737CE"/>
    <w:rsid w:val="001A1277"/>
    <w:rsid w:val="001B4C4B"/>
    <w:rsid w:val="002846E0"/>
    <w:rsid w:val="003C4DDA"/>
    <w:rsid w:val="003F3FBF"/>
    <w:rsid w:val="0042110D"/>
    <w:rsid w:val="00474340"/>
    <w:rsid w:val="004E51D1"/>
    <w:rsid w:val="00502C24"/>
    <w:rsid w:val="00554BE2"/>
    <w:rsid w:val="00595F2D"/>
    <w:rsid w:val="00622C68"/>
    <w:rsid w:val="00685FC4"/>
    <w:rsid w:val="006D3354"/>
    <w:rsid w:val="006D71C5"/>
    <w:rsid w:val="006F4FAD"/>
    <w:rsid w:val="007920B9"/>
    <w:rsid w:val="007C54EB"/>
    <w:rsid w:val="007E3397"/>
    <w:rsid w:val="00834B17"/>
    <w:rsid w:val="008361BB"/>
    <w:rsid w:val="008618B4"/>
    <w:rsid w:val="008A6CF4"/>
    <w:rsid w:val="008F18D2"/>
    <w:rsid w:val="0098156A"/>
    <w:rsid w:val="0099673D"/>
    <w:rsid w:val="00997C95"/>
    <w:rsid w:val="00A135C6"/>
    <w:rsid w:val="00A816A7"/>
    <w:rsid w:val="00B04410"/>
    <w:rsid w:val="00B86EDF"/>
    <w:rsid w:val="00B97CF2"/>
    <w:rsid w:val="00BA3638"/>
    <w:rsid w:val="00BA4949"/>
    <w:rsid w:val="00BE0103"/>
    <w:rsid w:val="00C52A1A"/>
    <w:rsid w:val="00C56C98"/>
    <w:rsid w:val="00C92198"/>
    <w:rsid w:val="00CE054E"/>
    <w:rsid w:val="00D5039F"/>
    <w:rsid w:val="00D70B80"/>
    <w:rsid w:val="00DE620F"/>
    <w:rsid w:val="00E66239"/>
    <w:rsid w:val="00F35FB6"/>
    <w:rsid w:val="00F37561"/>
    <w:rsid w:val="00F67C3C"/>
    <w:rsid w:val="00F80DDA"/>
    <w:rsid w:val="00F946C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62DFC"/>
  <w15:chartTrackingRefBased/>
  <w15:docId w15:val="{F5AE09E2-476F-4941-A70B-45C676A9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6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6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61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61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61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61B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61B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61B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61B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61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61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61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61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61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61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61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61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61BB"/>
    <w:rPr>
      <w:rFonts w:eastAsiaTheme="majorEastAsia" w:cstheme="majorBidi"/>
      <w:color w:val="272727" w:themeColor="text1" w:themeTint="D8"/>
    </w:rPr>
  </w:style>
  <w:style w:type="paragraph" w:styleId="Ttulo">
    <w:name w:val="Title"/>
    <w:basedOn w:val="Normal"/>
    <w:next w:val="Normal"/>
    <w:link w:val="TtuloCar"/>
    <w:uiPriority w:val="10"/>
    <w:qFormat/>
    <w:rsid w:val="008361B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61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61B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61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61B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361BB"/>
    <w:rPr>
      <w:i/>
      <w:iCs/>
      <w:color w:val="404040" w:themeColor="text1" w:themeTint="BF"/>
    </w:rPr>
  </w:style>
  <w:style w:type="paragraph" w:styleId="Prrafodelista">
    <w:name w:val="List Paragraph"/>
    <w:basedOn w:val="Normal"/>
    <w:uiPriority w:val="34"/>
    <w:qFormat/>
    <w:rsid w:val="008361BB"/>
    <w:pPr>
      <w:ind w:left="720"/>
      <w:contextualSpacing/>
    </w:pPr>
  </w:style>
  <w:style w:type="character" w:styleId="nfasisintenso">
    <w:name w:val="Intense Emphasis"/>
    <w:basedOn w:val="Fuentedeprrafopredeter"/>
    <w:uiPriority w:val="21"/>
    <w:qFormat/>
    <w:rsid w:val="008361BB"/>
    <w:rPr>
      <w:i/>
      <w:iCs/>
      <w:color w:val="0F4761" w:themeColor="accent1" w:themeShade="BF"/>
    </w:rPr>
  </w:style>
  <w:style w:type="paragraph" w:styleId="Citadestacada">
    <w:name w:val="Intense Quote"/>
    <w:basedOn w:val="Normal"/>
    <w:next w:val="Normal"/>
    <w:link w:val="CitadestacadaCar"/>
    <w:uiPriority w:val="30"/>
    <w:qFormat/>
    <w:rsid w:val="00836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61BB"/>
    <w:rPr>
      <w:i/>
      <w:iCs/>
      <w:color w:val="0F4761" w:themeColor="accent1" w:themeShade="BF"/>
    </w:rPr>
  </w:style>
  <w:style w:type="character" w:styleId="Referenciaintensa">
    <w:name w:val="Intense Reference"/>
    <w:basedOn w:val="Fuentedeprrafopredeter"/>
    <w:uiPriority w:val="32"/>
    <w:qFormat/>
    <w:rsid w:val="008361BB"/>
    <w:rPr>
      <w:b/>
      <w:bCs/>
      <w:smallCaps/>
      <w:color w:val="0F4761" w:themeColor="accent1" w:themeShade="BF"/>
      <w:spacing w:val="5"/>
    </w:rPr>
  </w:style>
  <w:style w:type="paragraph" w:styleId="Encabezado">
    <w:name w:val="header"/>
    <w:basedOn w:val="Normal"/>
    <w:link w:val="EncabezadoCar"/>
    <w:uiPriority w:val="99"/>
    <w:unhideWhenUsed/>
    <w:rsid w:val="008361BB"/>
    <w:pPr>
      <w:tabs>
        <w:tab w:val="center" w:pos="4419"/>
        <w:tab w:val="right" w:pos="8838"/>
      </w:tabs>
    </w:pPr>
  </w:style>
  <w:style w:type="character" w:customStyle="1" w:styleId="EncabezadoCar">
    <w:name w:val="Encabezado Car"/>
    <w:basedOn w:val="Fuentedeprrafopredeter"/>
    <w:link w:val="Encabezado"/>
    <w:uiPriority w:val="99"/>
    <w:rsid w:val="008361BB"/>
  </w:style>
  <w:style w:type="paragraph" w:styleId="Piedepgina">
    <w:name w:val="footer"/>
    <w:basedOn w:val="Normal"/>
    <w:link w:val="PiedepginaCar"/>
    <w:uiPriority w:val="99"/>
    <w:unhideWhenUsed/>
    <w:rsid w:val="008361BB"/>
    <w:pPr>
      <w:tabs>
        <w:tab w:val="center" w:pos="4419"/>
        <w:tab w:val="right" w:pos="8838"/>
      </w:tabs>
    </w:pPr>
  </w:style>
  <w:style w:type="character" w:customStyle="1" w:styleId="PiedepginaCar">
    <w:name w:val="Pie de página Car"/>
    <w:basedOn w:val="Fuentedeprrafopredeter"/>
    <w:link w:val="Piedepgina"/>
    <w:uiPriority w:val="99"/>
    <w:rsid w:val="008361BB"/>
  </w:style>
  <w:style w:type="paragraph" w:styleId="Sinespaciado">
    <w:name w:val="No Spacing"/>
    <w:uiPriority w:val="1"/>
    <w:qFormat/>
    <w:rsid w:val="00BE0103"/>
    <w:rPr>
      <w:rFonts w:ascii="Calibri" w:eastAsia="Calibri" w:hAnsi="Calibri" w:cs="Times New Roman"/>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1</Pages>
  <Words>430</Words>
  <Characters>2365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Externas</dc:creator>
  <cp:keywords/>
  <dc:description/>
  <cp:lastModifiedBy>LICENCIA  OFFICE</cp:lastModifiedBy>
  <cp:revision>16</cp:revision>
  <dcterms:created xsi:type="dcterms:W3CDTF">2025-05-09T13:30:00Z</dcterms:created>
  <dcterms:modified xsi:type="dcterms:W3CDTF">2026-03-30T15:29:00Z</dcterms:modified>
</cp:coreProperties>
</file>