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BB90">
      <w:pPr>
        <w:pStyle w:val="39"/>
        <w:rPr>
          <w:rFonts w:hint="default" w:cs="Calibri"/>
          <w:b/>
          <w:bCs/>
          <w:sz w:val="24"/>
          <w:szCs w:val="24"/>
          <w:lang w:val="es-ES"/>
        </w:rPr>
      </w:pPr>
      <w:r>
        <w:rPr>
          <w:rFonts w:hint="default" w:cs="Calibri"/>
          <w:b/>
          <w:bCs/>
          <w:sz w:val="24"/>
          <w:szCs w:val="24"/>
          <w:lang w:val="es-ES"/>
        </w:rPr>
        <w:t>HGPT 822/07/11/2025</w:t>
      </w:r>
    </w:p>
    <w:p w14:paraId="4001C81A">
      <w:pPr>
        <w:pStyle w:val="39"/>
        <w:tabs>
          <w:tab w:val="right" w:pos="8498"/>
        </w:tabs>
        <w:jc w:val="both"/>
        <w:rPr>
          <w:rFonts w:cs="Calibri"/>
          <w:sz w:val="24"/>
          <w:szCs w:val="24"/>
        </w:rPr>
      </w:pPr>
    </w:p>
    <w:p w14:paraId="60B1A692">
      <w:pPr>
        <w:pStyle w:val="39"/>
        <w:tabs>
          <w:tab w:val="right" w:pos="8498"/>
        </w:tabs>
        <w:jc w:val="center"/>
        <w:rPr>
          <w:rFonts w:hint="default"/>
          <w:b/>
          <w:bCs/>
          <w:sz w:val="24"/>
          <w:szCs w:val="24"/>
        </w:rPr>
      </w:pPr>
      <w:r>
        <w:rPr>
          <w:rFonts w:hint="default"/>
          <w:b/>
          <w:bCs/>
          <w:sz w:val="24"/>
          <w:szCs w:val="24"/>
        </w:rPr>
        <w:t>TUNGURAHUA CONSTRUYE FUTURO: OBRAS QUE TRANSFORMAN LA PROVINCIA</w:t>
      </w:r>
    </w:p>
    <w:p w14:paraId="001C5C05">
      <w:pPr>
        <w:pStyle w:val="39"/>
        <w:tabs>
          <w:tab w:val="right" w:pos="8498"/>
        </w:tabs>
        <w:jc w:val="both"/>
        <w:rPr>
          <w:rFonts w:hint="default"/>
          <w:sz w:val="24"/>
          <w:szCs w:val="24"/>
        </w:rPr>
      </w:pPr>
    </w:p>
    <w:p w14:paraId="57DE296F">
      <w:pPr>
        <w:pStyle w:val="39"/>
        <w:tabs>
          <w:tab w:val="right" w:pos="8498"/>
        </w:tabs>
        <w:jc w:val="center"/>
        <w:rPr>
          <w:rFonts w:hint="default"/>
          <w:i/>
          <w:iCs/>
          <w:sz w:val="24"/>
          <w:szCs w:val="24"/>
        </w:rPr>
      </w:pPr>
      <w:r>
        <w:rPr>
          <w:rFonts w:hint="default"/>
          <w:i/>
          <w:iCs/>
          <w:sz w:val="24"/>
          <w:szCs w:val="24"/>
        </w:rPr>
        <w:t>El Gobierno Provincial de Tungurahua consolida su liderazgo en infraestructura, desarrollo hídrico y bienestar social, impulsando proyectos que fortalecen la productividad, la integración regional y la salud de las familias tungurahuenses.</w:t>
      </w:r>
    </w:p>
    <w:p w14:paraId="70C7EE40">
      <w:pPr>
        <w:pStyle w:val="39"/>
        <w:tabs>
          <w:tab w:val="right" w:pos="8498"/>
        </w:tabs>
        <w:jc w:val="both"/>
        <w:rPr>
          <w:rFonts w:hint="default"/>
          <w:sz w:val="24"/>
          <w:szCs w:val="24"/>
        </w:rPr>
      </w:pPr>
    </w:p>
    <w:p w14:paraId="19216C88">
      <w:pPr>
        <w:pStyle w:val="39"/>
        <w:tabs>
          <w:tab w:val="right" w:pos="8498"/>
        </w:tabs>
        <w:jc w:val="both"/>
        <w:rPr>
          <w:rFonts w:hint="default"/>
          <w:sz w:val="24"/>
          <w:szCs w:val="24"/>
        </w:rPr>
      </w:pPr>
      <w:r>
        <w:rPr>
          <w:rFonts w:hint="default"/>
          <w:sz w:val="24"/>
          <w:szCs w:val="24"/>
        </w:rPr>
        <w:t>La administración del prefecto Dr. Manuel Caizabanda se distingue por una visión integral que une la obra pública con el desarrollo humano. En toda la provincia se ejecutan proyectos estratégicos que generan empleo, potencian la producción agrícola, fortalecen la conectividad y promueven una cultura de prevención y vida.</w:t>
      </w:r>
    </w:p>
    <w:p w14:paraId="4F963100">
      <w:pPr>
        <w:pStyle w:val="39"/>
        <w:tabs>
          <w:tab w:val="right" w:pos="8498"/>
        </w:tabs>
        <w:jc w:val="both"/>
        <w:rPr>
          <w:rFonts w:hint="default"/>
          <w:sz w:val="24"/>
          <w:szCs w:val="24"/>
        </w:rPr>
      </w:pPr>
      <w:r>
        <w:rPr>
          <w:rFonts w:hint="default"/>
          <w:sz w:val="24"/>
          <w:szCs w:val="24"/>
        </w:rPr>
        <w:t>Entre las obras más emblemáticas destacan el Embalse Chiquicahua, el Embalse Casahuala y la Vía Ambato–Pasa–El Corazón, mientras que, desde el Patronato Provincial de Tungurahua, entidad adscrita al Gobierno Provincial, se impulsa la labor social a través del proyecto “Hablemos Tungurahua”. Todas estas iniciativas reflejan el compromiso institucional por construir una provincia sostenible, solidaria y centrada en el bienestar de su gente.</w:t>
      </w:r>
    </w:p>
    <w:p w14:paraId="7791618B">
      <w:pPr>
        <w:pStyle w:val="39"/>
        <w:tabs>
          <w:tab w:val="right" w:pos="8498"/>
        </w:tabs>
        <w:jc w:val="both"/>
        <w:rPr>
          <w:rFonts w:hint="default"/>
          <w:sz w:val="24"/>
          <w:szCs w:val="24"/>
        </w:rPr>
      </w:pPr>
    </w:p>
    <w:p w14:paraId="05AF35D5">
      <w:pPr>
        <w:pStyle w:val="39"/>
        <w:tabs>
          <w:tab w:val="right" w:pos="8498"/>
        </w:tabs>
        <w:jc w:val="both"/>
        <w:rPr>
          <w:rFonts w:hint="default"/>
          <w:b/>
          <w:bCs/>
          <w:sz w:val="24"/>
          <w:szCs w:val="24"/>
        </w:rPr>
      </w:pPr>
      <w:r>
        <w:rPr>
          <w:rFonts w:hint="default"/>
          <w:b/>
          <w:bCs/>
          <w:sz w:val="24"/>
          <w:szCs w:val="24"/>
        </w:rPr>
        <w:t>EMBALSE CHIQUICAHUA: AGUA PARA LA VIDA Y LA PRODUCCIÓN</w:t>
      </w:r>
    </w:p>
    <w:p w14:paraId="5E3BA0D3">
      <w:pPr>
        <w:pStyle w:val="39"/>
        <w:tabs>
          <w:tab w:val="right" w:pos="8498"/>
        </w:tabs>
        <w:jc w:val="both"/>
        <w:rPr>
          <w:rFonts w:hint="default"/>
          <w:sz w:val="24"/>
          <w:szCs w:val="24"/>
        </w:rPr>
      </w:pPr>
    </w:p>
    <w:p w14:paraId="77EC3EB9">
      <w:pPr>
        <w:pStyle w:val="39"/>
        <w:tabs>
          <w:tab w:val="right" w:pos="8498"/>
        </w:tabs>
        <w:jc w:val="both"/>
        <w:rPr>
          <w:rFonts w:hint="default"/>
          <w:sz w:val="24"/>
          <w:szCs w:val="24"/>
        </w:rPr>
      </w:pPr>
      <w:r>
        <w:rPr>
          <w:rFonts w:hint="default"/>
          <w:sz w:val="24"/>
          <w:szCs w:val="24"/>
        </w:rPr>
        <w:t xml:space="preserve">El eje hídrico constituye una de las principales prioridades del Gobierno Provincial de Tungurahua, orientado a garantizar agua para la vida, la producción y el desarrollo sostenible. En este marco, las grandes represas de la provincia consolidan un modelo de gestión técnica, eficiente y responsable del recurso. Bajo esta visión, el Embalse Chiquicahua, que registra un </w:t>
      </w:r>
      <w:r>
        <w:rPr>
          <w:rFonts w:hint="default"/>
          <w:b/>
          <w:bCs/>
          <w:sz w:val="24"/>
          <w:szCs w:val="24"/>
        </w:rPr>
        <w:t>avance del 67,5 %,</w:t>
      </w:r>
      <w:r>
        <w:rPr>
          <w:rFonts w:hint="default"/>
          <w:sz w:val="24"/>
          <w:szCs w:val="24"/>
        </w:rPr>
        <w:t xml:space="preserve"> se posiciona como una de las obras más emblemáticas de la gestión hídrica provincial, asegurando el riego para </w:t>
      </w:r>
      <w:r>
        <w:rPr>
          <w:rFonts w:hint="default"/>
          <w:b/>
          <w:bCs/>
          <w:sz w:val="24"/>
          <w:szCs w:val="24"/>
        </w:rPr>
        <w:t>Pilahuín, Juan Benigno Vela, Santa Rosa, Huachi Grande y San Juan de Tisaleo, en beneficio de más de 12.000 familias agricultoras.</w:t>
      </w:r>
    </w:p>
    <w:p w14:paraId="449FDADC">
      <w:pPr>
        <w:pStyle w:val="39"/>
        <w:tabs>
          <w:tab w:val="right" w:pos="8498"/>
        </w:tabs>
        <w:jc w:val="both"/>
        <w:rPr>
          <w:rFonts w:hint="default"/>
          <w:sz w:val="24"/>
          <w:szCs w:val="24"/>
        </w:rPr>
      </w:pPr>
    </w:p>
    <w:p w14:paraId="76C8C1DB">
      <w:pPr>
        <w:pStyle w:val="39"/>
        <w:tabs>
          <w:tab w:val="right" w:pos="8498"/>
        </w:tabs>
        <w:jc w:val="both"/>
        <w:rPr>
          <w:rFonts w:hint="default"/>
          <w:sz w:val="24"/>
          <w:szCs w:val="24"/>
        </w:rPr>
      </w:pPr>
      <w:r>
        <w:rPr>
          <w:rFonts w:hint="default"/>
          <w:sz w:val="24"/>
          <w:szCs w:val="24"/>
        </w:rPr>
        <w:t>Con una inversión de</w:t>
      </w:r>
      <w:r>
        <w:rPr>
          <w:rFonts w:hint="default"/>
          <w:b/>
          <w:bCs/>
          <w:sz w:val="24"/>
          <w:szCs w:val="24"/>
        </w:rPr>
        <w:t xml:space="preserve"> 26,6 millones de dólares</w:t>
      </w:r>
      <w:r>
        <w:rPr>
          <w:rFonts w:hint="default"/>
          <w:sz w:val="24"/>
          <w:szCs w:val="24"/>
        </w:rPr>
        <w:t xml:space="preserve">, financiados por el Banco de Desarrollo del Ecuador y el Gobierno Provincial, la represa permitirá el riego tecnificado de </w:t>
      </w:r>
      <w:r>
        <w:rPr>
          <w:rFonts w:hint="default"/>
          <w:b/>
          <w:bCs/>
          <w:sz w:val="24"/>
          <w:szCs w:val="24"/>
        </w:rPr>
        <w:t>9.784 hectáreas</w:t>
      </w:r>
      <w:r>
        <w:rPr>
          <w:rFonts w:hint="default"/>
          <w:sz w:val="24"/>
          <w:szCs w:val="24"/>
        </w:rPr>
        <w:t>, fortaleciendo la soberanía alimentaria y la productividad rural.</w:t>
      </w:r>
    </w:p>
    <w:p w14:paraId="465C6B04">
      <w:pPr>
        <w:pStyle w:val="39"/>
        <w:tabs>
          <w:tab w:val="right" w:pos="8498"/>
        </w:tabs>
        <w:jc w:val="both"/>
        <w:rPr>
          <w:rFonts w:hint="default"/>
          <w:sz w:val="24"/>
          <w:szCs w:val="24"/>
        </w:rPr>
      </w:pPr>
    </w:p>
    <w:p w14:paraId="15081DED">
      <w:pPr>
        <w:pStyle w:val="39"/>
        <w:tabs>
          <w:tab w:val="right" w:pos="8498"/>
        </w:tabs>
        <w:jc w:val="both"/>
        <w:rPr>
          <w:rFonts w:hint="default"/>
          <w:sz w:val="24"/>
          <w:szCs w:val="24"/>
        </w:rPr>
      </w:pPr>
      <w:r>
        <w:rPr>
          <w:rFonts w:hint="default"/>
          <w:sz w:val="24"/>
          <w:szCs w:val="24"/>
        </w:rPr>
        <w:t xml:space="preserve">Con capacidad para </w:t>
      </w:r>
      <w:r>
        <w:rPr>
          <w:rFonts w:hint="default"/>
          <w:b/>
          <w:bCs/>
          <w:sz w:val="24"/>
          <w:szCs w:val="24"/>
        </w:rPr>
        <w:t>3 millones de metros cúbicos</w:t>
      </w:r>
      <w:r>
        <w:rPr>
          <w:rFonts w:hint="default"/>
          <w:sz w:val="24"/>
          <w:szCs w:val="24"/>
        </w:rPr>
        <w:t xml:space="preserve">, </w:t>
      </w:r>
      <w:r>
        <w:rPr>
          <w:rFonts w:hint="default"/>
          <w:b/>
          <w:bCs/>
          <w:sz w:val="24"/>
          <w:szCs w:val="24"/>
        </w:rPr>
        <w:t>Chiquicahua se convertirá en la tercera gran represa de Tungurahua.</w:t>
      </w:r>
      <w:r>
        <w:rPr>
          <w:rFonts w:hint="default"/>
          <w:sz w:val="24"/>
          <w:szCs w:val="24"/>
        </w:rPr>
        <w:t xml:space="preserve"> Su entrega está prevista para septiembre de 2026.</w:t>
      </w:r>
    </w:p>
    <w:p w14:paraId="4259C956">
      <w:pPr>
        <w:pStyle w:val="39"/>
        <w:tabs>
          <w:tab w:val="right" w:pos="8498"/>
        </w:tabs>
        <w:jc w:val="both"/>
        <w:rPr>
          <w:rFonts w:hint="default"/>
          <w:sz w:val="24"/>
          <w:szCs w:val="24"/>
        </w:rPr>
      </w:pPr>
      <w:r>
        <w:rPr>
          <w:rFonts w:hint="default"/>
          <w:sz w:val="24"/>
          <w:szCs w:val="24"/>
        </w:rPr>
        <w:t>“El Embalse Chiquicahua representa el esfuerzo colectivo por garantizar agua para la vida y la producción”, destacó el prefecto Caizabanda.</w:t>
      </w:r>
    </w:p>
    <w:p w14:paraId="07641441">
      <w:pPr>
        <w:pStyle w:val="39"/>
        <w:tabs>
          <w:tab w:val="right" w:pos="8498"/>
        </w:tabs>
        <w:jc w:val="both"/>
        <w:rPr>
          <w:rFonts w:hint="default"/>
          <w:sz w:val="24"/>
          <w:szCs w:val="24"/>
        </w:rPr>
      </w:pPr>
    </w:p>
    <w:p w14:paraId="1519ED37">
      <w:pPr>
        <w:pStyle w:val="39"/>
        <w:tabs>
          <w:tab w:val="right" w:pos="8498"/>
        </w:tabs>
        <w:jc w:val="both"/>
        <w:rPr>
          <w:rFonts w:hint="default"/>
          <w:b/>
          <w:bCs/>
          <w:sz w:val="24"/>
          <w:szCs w:val="24"/>
        </w:rPr>
      </w:pPr>
      <w:r>
        <w:rPr>
          <w:rFonts w:hint="default"/>
          <w:b/>
          <w:bCs/>
          <w:sz w:val="24"/>
          <w:szCs w:val="24"/>
        </w:rPr>
        <w:t>EMBALSE CASAHUALA: GESTIÓN HÍDRICA SOSTENIBLE EN MARCHA</w:t>
      </w:r>
    </w:p>
    <w:p w14:paraId="32EF7335">
      <w:pPr>
        <w:pStyle w:val="39"/>
        <w:tabs>
          <w:tab w:val="right" w:pos="8498"/>
        </w:tabs>
        <w:jc w:val="both"/>
        <w:rPr>
          <w:rFonts w:hint="default"/>
          <w:sz w:val="24"/>
          <w:szCs w:val="24"/>
        </w:rPr>
      </w:pPr>
    </w:p>
    <w:p w14:paraId="450146ED">
      <w:pPr>
        <w:pStyle w:val="39"/>
        <w:tabs>
          <w:tab w:val="right" w:pos="8498"/>
        </w:tabs>
        <w:jc w:val="both"/>
        <w:rPr>
          <w:rFonts w:hint="default"/>
          <w:sz w:val="24"/>
          <w:szCs w:val="24"/>
        </w:rPr>
      </w:pPr>
      <w:r>
        <w:rPr>
          <w:rFonts w:hint="default"/>
          <w:sz w:val="24"/>
          <w:szCs w:val="24"/>
        </w:rPr>
        <w:t xml:space="preserve">Desde la planificación hídrica provincial, el Gobierno Provincial de Tungurahua impulsa proyectos que fortalecen la resiliencia frente al cambio climático, amplían la cobertura de riego y promueven el manejo sostenible del agua. El trabajo articulado con otras provincias refleja una visión integradora y solidaria del desarrollo territorial. En este contexto, avanzan los estudios definitivos del Embalse Casahuala, la cuarta represa estacionaria de Tungurahua, que beneficiará a comunidades de </w:t>
      </w:r>
      <w:r>
        <w:rPr>
          <w:rFonts w:hint="default"/>
          <w:b/>
          <w:bCs/>
          <w:sz w:val="24"/>
          <w:szCs w:val="24"/>
        </w:rPr>
        <w:t>Tungurahua y Cotopaxi.</w:t>
      </w:r>
    </w:p>
    <w:p w14:paraId="79E21B75">
      <w:pPr>
        <w:pStyle w:val="39"/>
        <w:tabs>
          <w:tab w:val="right" w:pos="8498"/>
        </w:tabs>
        <w:jc w:val="both"/>
        <w:rPr>
          <w:rFonts w:hint="default"/>
          <w:sz w:val="24"/>
          <w:szCs w:val="24"/>
        </w:rPr>
      </w:pPr>
    </w:p>
    <w:p w14:paraId="733A3BD8">
      <w:pPr>
        <w:pStyle w:val="39"/>
        <w:tabs>
          <w:tab w:val="right" w:pos="8498"/>
        </w:tabs>
        <w:jc w:val="both"/>
        <w:rPr>
          <w:rFonts w:hint="default"/>
          <w:sz w:val="24"/>
          <w:szCs w:val="24"/>
        </w:rPr>
      </w:pPr>
      <w:r>
        <w:rPr>
          <w:rFonts w:hint="default"/>
          <w:sz w:val="24"/>
          <w:szCs w:val="24"/>
        </w:rPr>
        <w:t xml:space="preserve">Los estudios, ejecutados por la consultora A&amp;P, culminarán entre febrero y marzo de 2026. El proyecto permitirá almacenar entre </w:t>
      </w:r>
      <w:r>
        <w:rPr>
          <w:rFonts w:hint="default"/>
          <w:b/>
          <w:bCs/>
          <w:sz w:val="24"/>
          <w:szCs w:val="24"/>
        </w:rPr>
        <w:t>6 y 10 millones de metros cúbicos de agua,</w:t>
      </w:r>
      <w:r>
        <w:rPr>
          <w:rFonts w:hint="default"/>
          <w:sz w:val="24"/>
          <w:szCs w:val="24"/>
        </w:rPr>
        <w:t xml:space="preserve"> beneficiando a </w:t>
      </w:r>
      <w:r>
        <w:rPr>
          <w:rFonts w:hint="default"/>
          <w:b/>
          <w:bCs/>
          <w:sz w:val="24"/>
          <w:szCs w:val="24"/>
        </w:rPr>
        <w:t>9.500 habitantes</w:t>
      </w:r>
      <w:r>
        <w:rPr>
          <w:rFonts w:hint="default"/>
          <w:sz w:val="24"/>
          <w:szCs w:val="24"/>
        </w:rPr>
        <w:t xml:space="preserve"> y asegurando el riego de </w:t>
      </w:r>
      <w:r>
        <w:rPr>
          <w:rFonts w:hint="default"/>
          <w:b/>
          <w:bCs/>
          <w:sz w:val="24"/>
          <w:szCs w:val="24"/>
        </w:rPr>
        <w:t>7.030 hectáreas agrícolas en la zona noroccidental de Ambato y en el cantón Salcedo.</w:t>
      </w:r>
    </w:p>
    <w:p w14:paraId="69B39CB8">
      <w:pPr>
        <w:pStyle w:val="39"/>
        <w:tabs>
          <w:tab w:val="right" w:pos="8498"/>
        </w:tabs>
        <w:jc w:val="both"/>
        <w:rPr>
          <w:rFonts w:hint="default"/>
          <w:sz w:val="24"/>
          <w:szCs w:val="24"/>
        </w:rPr>
      </w:pPr>
    </w:p>
    <w:p w14:paraId="42DE4E42">
      <w:pPr>
        <w:pStyle w:val="39"/>
        <w:tabs>
          <w:tab w:val="right" w:pos="8498"/>
        </w:tabs>
        <w:jc w:val="both"/>
        <w:rPr>
          <w:rFonts w:hint="default"/>
          <w:sz w:val="24"/>
          <w:szCs w:val="24"/>
        </w:rPr>
      </w:pPr>
      <w:r>
        <w:rPr>
          <w:rFonts w:hint="default"/>
          <w:sz w:val="24"/>
          <w:szCs w:val="24"/>
        </w:rPr>
        <w:t xml:space="preserve">La inversión biprovincial asciende a </w:t>
      </w:r>
      <w:r>
        <w:rPr>
          <w:rFonts w:hint="default"/>
          <w:b/>
          <w:bCs/>
          <w:sz w:val="24"/>
          <w:szCs w:val="24"/>
        </w:rPr>
        <w:t>900.000 dólares</w:t>
      </w:r>
      <w:r>
        <w:rPr>
          <w:rFonts w:hint="default"/>
          <w:sz w:val="24"/>
          <w:szCs w:val="24"/>
        </w:rPr>
        <w:t xml:space="preserve">, de los cuales $800.000 corresponden al Gobierno Provincial de Tungurahua y $100.000 al </w:t>
      </w:r>
      <w:r>
        <w:rPr>
          <w:rFonts w:hint="default"/>
          <w:sz w:val="24"/>
          <w:szCs w:val="24"/>
          <w:lang w:val="es-ES"/>
        </w:rPr>
        <w:t>Gobierno Provincial de Cotopaxi</w:t>
      </w:r>
      <w:r>
        <w:rPr>
          <w:rFonts w:hint="default"/>
          <w:sz w:val="24"/>
          <w:szCs w:val="24"/>
        </w:rPr>
        <w:t>.</w:t>
      </w:r>
    </w:p>
    <w:p w14:paraId="3900DD34">
      <w:pPr>
        <w:pStyle w:val="39"/>
        <w:tabs>
          <w:tab w:val="right" w:pos="8498"/>
        </w:tabs>
        <w:jc w:val="both"/>
        <w:rPr>
          <w:rFonts w:hint="default"/>
          <w:sz w:val="24"/>
          <w:szCs w:val="24"/>
        </w:rPr>
      </w:pPr>
      <w:r>
        <w:rPr>
          <w:rFonts w:hint="default"/>
          <w:sz w:val="24"/>
          <w:szCs w:val="24"/>
        </w:rPr>
        <w:t>El embalse regulará los caudales del río Ambato, garantizará el caudal ecológico y permitirá la generación hidroeléctrica, contribuyendo al desarrollo productivo y ambiental.</w:t>
      </w:r>
    </w:p>
    <w:p w14:paraId="1DD6CEF1">
      <w:pPr>
        <w:pStyle w:val="39"/>
        <w:tabs>
          <w:tab w:val="right" w:pos="8498"/>
        </w:tabs>
        <w:jc w:val="both"/>
        <w:rPr>
          <w:rFonts w:hint="default"/>
          <w:sz w:val="24"/>
          <w:szCs w:val="24"/>
        </w:rPr>
      </w:pPr>
    </w:p>
    <w:p w14:paraId="2A0FA727">
      <w:pPr>
        <w:pStyle w:val="39"/>
        <w:tabs>
          <w:tab w:val="right" w:pos="8498"/>
        </w:tabs>
        <w:jc w:val="both"/>
        <w:rPr>
          <w:rFonts w:hint="default"/>
          <w:b/>
          <w:bCs/>
          <w:sz w:val="24"/>
          <w:szCs w:val="24"/>
        </w:rPr>
      </w:pPr>
      <w:r>
        <w:rPr>
          <w:rFonts w:hint="default"/>
          <w:b/>
          <w:bCs/>
          <w:sz w:val="24"/>
          <w:szCs w:val="24"/>
        </w:rPr>
        <w:t>VÍA AMBATO</w:t>
      </w:r>
      <w:r>
        <w:rPr>
          <w:rFonts w:hint="default"/>
          <w:b/>
          <w:bCs/>
          <w:sz w:val="24"/>
          <w:szCs w:val="24"/>
          <w:lang w:val="es-ES"/>
        </w:rPr>
        <w:t xml:space="preserve"> </w:t>
      </w:r>
      <w:r>
        <w:rPr>
          <w:rFonts w:hint="default"/>
          <w:b/>
          <w:bCs/>
          <w:sz w:val="24"/>
          <w:szCs w:val="24"/>
        </w:rPr>
        <w:t>–</w:t>
      </w:r>
      <w:r>
        <w:rPr>
          <w:rFonts w:hint="default"/>
          <w:b/>
          <w:bCs/>
          <w:sz w:val="24"/>
          <w:szCs w:val="24"/>
          <w:lang w:val="es-ES"/>
        </w:rPr>
        <w:t xml:space="preserve"> </w:t>
      </w:r>
      <w:r>
        <w:rPr>
          <w:rFonts w:hint="default"/>
          <w:b/>
          <w:bCs/>
          <w:sz w:val="24"/>
          <w:szCs w:val="24"/>
        </w:rPr>
        <w:t>PASA</w:t>
      </w:r>
      <w:r>
        <w:rPr>
          <w:rFonts w:hint="default"/>
          <w:b/>
          <w:bCs/>
          <w:sz w:val="24"/>
          <w:szCs w:val="24"/>
          <w:lang w:val="es-ES"/>
        </w:rPr>
        <w:t xml:space="preserve"> </w:t>
      </w:r>
      <w:r>
        <w:rPr>
          <w:rFonts w:hint="default"/>
          <w:b/>
          <w:bCs/>
          <w:sz w:val="24"/>
          <w:szCs w:val="24"/>
        </w:rPr>
        <w:t>–</w:t>
      </w:r>
      <w:r>
        <w:rPr>
          <w:rFonts w:hint="default"/>
          <w:b/>
          <w:bCs/>
          <w:sz w:val="24"/>
          <w:szCs w:val="24"/>
          <w:lang w:val="es-ES"/>
        </w:rPr>
        <w:t xml:space="preserve"> </w:t>
      </w:r>
      <w:r>
        <w:rPr>
          <w:rFonts w:hint="default"/>
          <w:b/>
          <w:bCs/>
          <w:sz w:val="24"/>
          <w:szCs w:val="24"/>
        </w:rPr>
        <w:t>EL CORAZÓN: UNIENDO TERRITORIOS Y OPORTUNIDADES</w:t>
      </w:r>
    </w:p>
    <w:p w14:paraId="27BF95A3">
      <w:pPr>
        <w:pStyle w:val="39"/>
        <w:tabs>
          <w:tab w:val="right" w:pos="8498"/>
        </w:tabs>
        <w:jc w:val="both"/>
        <w:rPr>
          <w:rFonts w:hint="default"/>
          <w:sz w:val="24"/>
          <w:szCs w:val="24"/>
        </w:rPr>
      </w:pPr>
    </w:p>
    <w:p w14:paraId="472576A0">
      <w:pPr>
        <w:pStyle w:val="39"/>
        <w:tabs>
          <w:tab w:val="right" w:pos="8498"/>
        </w:tabs>
        <w:jc w:val="both"/>
        <w:rPr>
          <w:rFonts w:hint="default"/>
          <w:sz w:val="24"/>
          <w:szCs w:val="24"/>
        </w:rPr>
      </w:pPr>
      <w:r>
        <w:rPr>
          <w:rFonts w:hint="default"/>
          <w:sz w:val="24"/>
          <w:szCs w:val="24"/>
        </w:rPr>
        <w:t xml:space="preserve">El eje vial es una de las grandes prioridades del Gobierno Provincial de Tungurahua, al constituirse como motor de integración, productividad y desarrollo territorial. </w:t>
      </w:r>
    </w:p>
    <w:p w14:paraId="043EA993">
      <w:pPr>
        <w:pStyle w:val="39"/>
        <w:tabs>
          <w:tab w:val="right" w:pos="8498"/>
        </w:tabs>
        <w:jc w:val="both"/>
        <w:rPr>
          <w:rFonts w:hint="default"/>
          <w:sz w:val="24"/>
          <w:szCs w:val="24"/>
        </w:rPr>
      </w:pPr>
    </w:p>
    <w:p w14:paraId="6048DFAE">
      <w:pPr>
        <w:pStyle w:val="39"/>
        <w:tabs>
          <w:tab w:val="right" w:pos="8498"/>
        </w:tabs>
        <w:jc w:val="left"/>
        <w:rPr>
          <w:rFonts w:hint="default"/>
          <w:sz w:val="24"/>
          <w:szCs w:val="24"/>
        </w:rPr>
      </w:pPr>
      <w:r>
        <w:rPr>
          <w:rFonts w:hint="default"/>
          <w:sz w:val="24"/>
          <w:szCs w:val="24"/>
        </w:rPr>
        <w:t xml:space="preserve">En este marco, la Vía Ambato–Pasa–El Corazón registra un </w:t>
      </w:r>
      <w:r>
        <w:rPr>
          <w:rFonts w:hint="default"/>
          <w:b/>
          <w:bCs/>
          <w:sz w:val="24"/>
          <w:szCs w:val="24"/>
        </w:rPr>
        <w:t>80 % de avance</w:t>
      </w:r>
      <w:r>
        <w:rPr>
          <w:rFonts w:hint="default"/>
          <w:sz w:val="24"/>
          <w:szCs w:val="24"/>
        </w:rPr>
        <w:t xml:space="preserve"> en la apertura y lastrado de los tramos </w:t>
      </w:r>
      <w:r>
        <w:rPr>
          <w:rFonts w:hint="default"/>
          <w:i/>
          <w:iCs/>
          <w:sz w:val="24"/>
          <w:szCs w:val="24"/>
        </w:rPr>
        <w:t>Ambato</w:t>
      </w:r>
      <w:r>
        <w:rPr>
          <w:rFonts w:hint="default"/>
          <w:i/>
          <w:iCs/>
          <w:sz w:val="24"/>
          <w:szCs w:val="24"/>
          <w:lang w:val="es-ES"/>
        </w:rPr>
        <w:t>-</w:t>
      </w:r>
      <w:r>
        <w:rPr>
          <w:rFonts w:hint="default"/>
          <w:i/>
          <w:iCs/>
          <w:sz w:val="24"/>
          <w:szCs w:val="24"/>
        </w:rPr>
        <w:t>Pasa</w:t>
      </w:r>
      <w:r>
        <w:rPr>
          <w:rFonts w:hint="default"/>
          <w:i/>
          <w:iCs/>
          <w:sz w:val="24"/>
          <w:szCs w:val="24"/>
          <w:lang w:val="es-ES"/>
        </w:rPr>
        <w:t>-</w:t>
      </w:r>
      <w:r>
        <w:rPr>
          <w:rFonts w:hint="default"/>
          <w:i/>
          <w:iCs/>
          <w:sz w:val="24"/>
          <w:szCs w:val="24"/>
        </w:rPr>
        <w:t>Tiliví</w:t>
      </w:r>
      <w:r>
        <w:rPr>
          <w:rFonts w:hint="default"/>
          <w:i/>
          <w:iCs/>
          <w:sz w:val="24"/>
          <w:szCs w:val="24"/>
          <w:lang w:val="es-ES"/>
        </w:rPr>
        <w:t>-</w:t>
      </w:r>
      <w:r>
        <w:rPr>
          <w:rFonts w:hint="default"/>
          <w:i/>
          <w:iCs/>
          <w:sz w:val="24"/>
          <w:szCs w:val="24"/>
        </w:rPr>
        <w:t>Pasapungo</w:t>
      </w:r>
      <w:r>
        <w:rPr>
          <w:rFonts w:hint="default"/>
          <w:i/>
          <w:iCs/>
          <w:sz w:val="24"/>
          <w:szCs w:val="24"/>
          <w:lang w:val="es-ES"/>
        </w:rPr>
        <w:t>-</w:t>
      </w:r>
      <w:r>
        <w:rPr>
          <w:rFonts w:hint="default"/>
          <w:i/>
          <w:iCs/>
          <w:sz w:val="24"/>
          <w:szCs w:val="24"/>
        </w:rPr>
        <w:t>Guambaine</w:t>
      </w:r>
      <w:r>
        <w:rPr>
          <w:rFonts w:hint="default"/>
          <w:i/>
          <w:iCs/>
          <w:sz w:val="24"/>
          <w:szCs w:val="24"/>
          <w:lang w:val="es-ES"/>
        </w:rPr>
        <w:t>-</w:t>
      </w:r>
      <w:r>
        <w:rPr>
          <w:rFonts w:hint="default"/>
          <w:i/>
          <w:iCs/>
          <w:sz w:val="24"/>
          <w:szCs w:val="24"/>
        </w:rPr>
        <w:t>Shuyo</w:t>
      </w:r>
      <w:r>
        <w:rPr>
          <w:rFonts w:hint="default"/>
          <w:i/>
          <w:iCs/>
          <w:sz w:val="24"/>
          <w:szCs w:val="24"/>
          <w:lang w:val="es-ES"/>
        </w:rPr>
        <w:t>-</w:t>
      </w:r>
      <w:r>
        <w:rPr>
          <w:rFonts w:hint="default"/>
          <w:i/>
          <w:iCs/>
          <w:sz w:val="24"/>
          <w:szCs w:val="24"/>
        </w:rPr>
        <w:t>Pinllopata</w:t>
      </w:r>
      <w:r>
        <w:rPr>
          <w:rFonts w:hint="default"/>
          <w:i/>
          <w:iCs/>
          <w:sz w:val="24"/>
          <w:szCs w:val="24"/>
          <w:lang w:val="es-ES"/>
        </w:rPr>
        <w:t>-</w:t>
      </w:r>
      <w:r>
        <w:rPr>
          <w:rFonts w:hint="default"/>
          <w:i/>
          <w:iCs/>
          <w:sz w:val="24"/>
          <w:szCs w:val="24"/>
        </w:rPr>
        <w:t>El</w:t>
      </w:r>
      <w:r>
        <w:rPr>
          <w:rFonts w:hint="default"/>
          <w:i/>
          <w:iCs/>
          <w:sz w:val="24"/>
          <w:szCs w:val="24"/>
          <w:lang w:val="es-ES"/>
        </w:rPr>
        <w:t xml:space="preserve"> </w:t>
      </w:r>
      <w:r>
        <w:rPr>
          <w:rFonts w:hint="default"/>
          <w:i/>
          <w:iCs/>
          <w:sz w:val="24"/>
          <w:szCs w:val="24"/>
        </w:rPr>
        <w:t>Corazón</w:t>
      </w:r>
      <w:r>
        <w:rPr>
          <w:rFonts w:hint="default"/>
          <w:i/>
          <w:iCs/>
          <w:sz w:val="24"/>
          <w:szCs w:val="24"/>
          <w:lang w:val="es-ES"/>
        </w:rPr>
        <w:t>-</w:t>
      </w:r>
      <w:r>
        <w:rPr>
          <w:rFonts w:hint="default"/>
          <w:i/>
          <w:iCs/>
          <w:sz w:val="24"/>
          <w:szCs w:val="24"/>
        </w:rPr>
        <w:t>Moraspungo</w:t>
      </w:r>
      <w:r>
        <w:rPr>
          <w:rFonts w:hint="default"/>
          <w:i/>
          <w:iCs/>
          <w:sz w:val="24"/>
          <w:szCs w:val="24"/>
          <w:lang w:val="es-ES"/>
        </w:rPr>
        <w:t>-</w:t>
      </w:r>
      <w:r>
        <w:rPr>
          <w:rFonts w:hint="default"/>
          <w:i/>
          <w:iCs/>
          <w:sz w:val="24"/>
          <w:szCs w:val="24"/>
        </w:rPr>
        <w:t>Quinsaloma</w:t>
      </w:r>
      <w:r>
        <w:rPr>
          <w:rFonts w:hint="default"/>
          <w:i/>
          <w:iCs/>
          <w:sz w:val="24"/>
          <w:szCs w:val="24"/>
          <w:lang w:val="es-ES"/>
        </w:rPr>
        <w:t>-</w:t>
      </w:r>
      <w:r>
        <w:rPr>
          <w:rFonts w:hint="default"/>
          <w:i/>
          <w:iCs/>
          <w:sz w:val="24"/>
          <w:szCs w:val="24"/>
        </w:rPr>
        <w:t>La Ercilia</w:t>
      </w:r>
      <w:r>
        <w:rPr>
          <w:rFonts w:hint="default"/>
          <w:i/>
          <w:iCs/>
          <w:sz w:val="24"/>
          <w:szCs w:val="24"/>
          <w:lang w:val="es-ES"/>
        </w:rPr>
        <w:t>-</w:t>
      </w:r>
      <w:r>
        <w:rPr>
          <w:rFonts w:hint="default"/>
          <w:i/>
          <w:iCs/>
          <w:sz w:val="24"/>
          <w:szCs w:val="24"/>
        </w:rPr>
        <w:t>Quevedo</w:t>
      </w:r>
      <w:r>
        <w:rPr>
          <w:rFonts w:hint="default"/>
          <w:i/>
          <w:iCs/>
          <w:sz w:val="24"/>
          <w:szCs w:val="24"/>
          <w:lang w:val="es-ES"/>
        </w:rPr>
        <w:t>-</w:t>
      </w:r>
      <w:r>
        <w:rPr>
          <w:rFonts w:hint="default"/>
          <w:i/>
          <w:iCs/>
          <w:sz w:val="24"/>
          <w:szCs w:val="24"/>
        </w:rPr>
        <w:t>Manta, y Ambato</w:t>
      </w:r>
      <w:r>
        <w:rPr>
          <w:rFonts w:hint="default"/>
          <w:i/>
          <w:iCs/>
          <w:sz w:val="24"/>
          <w:szCs w:val="24"/>
          <w:lang w:val="es-ES"/>
        </w:rPr>
        <w:t>-</w:t>
      </w:r>
      <w:r>
        <w:rPr>
          <w:rFonts w:hint="default"/>
          <w:i/>
          <w:iCs/>
          <w:sz w:val="24"/>
          <w:szCs w:val="24"/>
        </w:rPr>
        <w:t>Vía Flores</w:t>
      </w:r>
      <w:r>
        <w:rPr>
          <w:rFonts w:hint="default"/>
          <w:i/>
          <w:iCs/>
          <w:sz w:val="24"/>
          <w:szCs w:val="24"/>
          <w:lang w:val="es-ES"/>
        </w:rPr>
        <w:t>-</w:t>
      </w:r>
      <w:r>
        <w:rPr>
          <w:rFonts w:hint="default"/>
          <w:i/>
          <w:iCs/>
          <w:sz w:val="24"/>
          <w:szCs w:val="24"/>
        </w:rPr>
        <w:t>Escaleras</w:t>
      </w:r>
      <w:r>
        <w:rPr>
          <w:rFonts w:hint="default"/>
          <w:i/>
          <w:iCs/>
          <w:sz w:val="24"/>
          <w:szCs w:val="24"/>
          <w:lang w:val="es-ES"/>
        </w:rPr>
        <w:t>-</w:t>
      </w:r>
      <w:r>
        <w:rPr>
          <w:rFonts w:hint="default"/>
          <w:i/>
          <w:iCs/>
          <w:sz w:val="24"/>
          <w:szCs w:val="24"/>
        </w:rPr>
        <w:t>Chuquibanza</w:t>
      </w:r>
      <w:r>
        <w:rPr>
          <w:rFonts w:hint="default"/>
          <w:i/>
          <w:iCs/>
          <w:sz w:val="24"/>
          <w:szCs w:val="24"/>
          <w:lang w:val="es-ES"/>
        </w:rPr>
        <w:t>-</w:t>
      </w:r>
      <w:r>
        <w:rPr>
          <w:rFonts w:hint="default"/>
          <w:i/>
          <w:iCs/>
          <w:sz w:val="24"/>
          <w:szCs w:val="24"/>
        </w:rPr>
        <w:t>El Sombrero–Churolozan</w:t>
      </w:r>
      <w:r>
        <w:rPr>
          <w:rFonts w:hint="default"/>
          <w:i/>
          <w:iCs/>
          <w:sz w:val="24"/>
          <w:szCs w:val="24"/>
          <w:lang w:val="es-ES"/>
        </w:rPr>
        <w:t>-</w:t>
      </w:r>
      <w:r>
        <w:rPr>
          <w:rFonts w:hint="default"/>
          <w:i/>
          <w:iCs/>
          <w:sz w:val="24"/>
          <w:szCs w:val="24"/>
        </w:rPr>
        <w:t>Silipo</w:t>
      </w:r>
      <w:r>
        <w:rPr>
          <w:rFonts w:hint="default"/>
          <w:i/>
          <w:iCs/>
          <w:sz w:val="24"/>
          <w:szCs w:val="24"/>
          <w:lang w:val="es-ES"/>
        </w:rPr>
        <w:t>-</w:t>
      </w:r>
      <w:r>
        <w:rPr>
          <w:rFonts w:hint="default"/>
          <w:i/>
          <w:iCs/>
          <w:sz w:val="24"/>
          <w:szCs w:val="24"/>
        </w:rPr>
        <w:t>Pinllopata</w:t>
      </w:r>
      <w:r>
        <w:rPr>
          <w:rFonts w:hint="default"/>
          <w:i/>
          <w:iCs/>
          <w:sz w:val="24"/>
          <w:szCs w:val="24"/>
          <w:lang w:val="es-ES"/>
        </w:rPr>
        <w:t>-</w:t>
      </w:r>
      <w:r>
        <w:rPr>
          <w:rFonts w:hint="default"/>
          <w:i/>
          <w:iCs/>
          <w:sz w:val="24"/>
          <w:szCs w:val="24"/>
        </w:rPr>
        <w:t>El Corazón</w:t>
      </w:r>
      <w:r>
        <w:rPr>
          <w:rFonts w:hint="default"/>
          <w:i/>
          <w:iCs/>
          <w:sz w:val="24"/>
          <w:szCs w:val="24"/>
          <w:lang w:val="es-ES"/>
        </w:rPr>
        <w:t>-</w:t>
      </w:r>
      <w:r>
        <w:rPr>
          <w:rFonts w:hint="default"/>
          <w:i/>
          <w:iCs/>
          <w:sz w:val="24"/>
          <w:szCs w:val="24"/>
        </w:rPr>
        <w:t>Moraspungo</w:t>
      </w:r>
      <w:r>
        <w:rPr>
          <w:rFonts w:hint="default"/>
          <w:i/>
          <w:iCs/>
          <w:sz w:val="24"/>
          <w:szCs w:val="24"/>
          <w:lang w:val="es-ES"/>
        </w:rPr>
        <w:t>-</w:t>
      </w:r>
      <w:r>
        <w:rPr>
          <w:rFonts w:hint="default"/>
          <w:i/>
          <w:iCs/>
          <w:sz w:val="24"/>
          <w:szCs w:val="24"/>
        </w:rPr>
        <w:t>Quinsaloma</w:t>
      </w:r>
      <w:r>
        <w:rPr>
          <w:rFonts w:hint="default"/>
          <w:i/>
          <w:iCs/>
          <w:sz w:val="24"/>
          <w:szCs w:val="24"/>
          <w:lang w:val="es-ES"/>
        </w:rPr>
        <w:t>-</w:t>
      </w:r>
      <w:r>
        <w:rPr>
          <w:rFonts w:hint="default"/>
          <w:i/>
          <w:iCs/>
          <w:sz w:val="24"/>
          <w:szCs w:val="24"/>
        </w:rPr>
        <w:t>Quevedo</w:t>
      </w:r>
      <w:r>
        <w:rPr>
          <w:rFonts w:hint="default"/>
          <w:i/>
          <w:iCs/>
          <w:sz w:val="24"/>
          <w:szCs w:val="24"/>
          <w:lang w:val="es-ES"/>
        </w:rPr>
        <w:t>-</w:t>
      </w:r>
      <w:r>
        <w:rPr>
          <w:rFonts w:hint="default"/>
          <w:i/>
          <w:iCs/>
          <w:sz w:val="24"/>
          <w:szCs w:val="24"/>
        </w:rPr>
        <w:t>Manta.</w:t>
      </w:r>
    </w:p>
    <w:p w14:paraId="0AB461EB">
      <w:pPr>
        <w:pStyle w:val="39"/>
        <w:tabs>
          <w:tab w:val="right" w:pos="8498"/>
        </w:tabs>
        <w:jc w:val="both"/>
        <w:rPr>
          <w:rFonts w:hint="default"/>
          <w:sz w:val="24"/>
          <w:szCs w:val="24"/>
        </w:rPr>
      </w:pPr>
    </w:p>
    <w:p w14:paraId="0CE4AFB7">
      <w:pPr>
        <w:pStyle w:val="39"/>
        <w:tabs>
          <w:tab w:val="right" w:pos="8498"/>
        </w:tabs>
        <w:jc w:val="both"/>
        <w:rPr>
          <w:rFonts w:hint="default"/>
          <w:sz w:val="24"/>
          <w:szCs w:val="24"/>
        </w:rPr>
      </w:pPr>
      <w:r>
        <w:rPr>
          <w:rFonts w:hint="default"/>
          <w:sz w:val="24"/>
          <w:szCs w:val="24"/>
        </w:rPr>
        <w:t xml:space="preserve">Este proyecto interprovincial, ejecutado de manera conjunta con el Gobierno Provincial de Cotopaxi, consolidará un corredor logístico estratégico que conectará a </w:t>
      </w:r>
      <w:r>
        <w:rPr>
          <w:rFonts w:hint="default"/>
          <w:b/>
          <w:bCs/>
          <w:sz w:val="24"/>
          <w:szCs w:val="24"/>
        </w:rPr>
        <w:t>Tungurahua, Bolívar, Cotopaxi, Los Ríos y Manabí,</w:t>
      </w:r>
      <w:r>
        <w:rPr>
          <w:rFonts w:hint="default"/>
          <w:sz w:val="24"/>
          <w:szCs w:val="24"/>
        </w:rPr>
        <w:t xml:space="preserve"> dinamizando la economía regional y fortaleciendo la competitividad del centro del país.</w:t>
      </w:r>
    </w:p>
    <w:p w14:paraId="26B060B2">
      <w:pPr>
        <w:pStyle w:val="39"/>
        <w:tabs>
          <w:tab w:val="right" w:pos="8498"/>
        </w:tabs>
        <w:jc w:val="both"/>
        <w:rPr>
          <w:rFonts w:hint="default"/>
          <w:sz w:val="24"/>
          <w:szCs w:val="24"/>
        </w:rPr>
      </w:pPr>
    </w:p>
    <w:p w14:paraId="27A1A13C">
      <w:pPr>
        <w:pStyle w:val="39"/>
        <w:tabs>
          <w:tab w:val="right" w:pos="8498"/>
        </w:tabs>
        <w:jc w:val="both"/>
        <w:rPr>
          <w:rFonts w:hint="default"/>
          <w:sz w:val="24"/>
          <w:szCs w:val="24"/>
        </w:rPr>
      </w:pPr>
      <w:r>
        <w:rPr>
          <w:rFonts w:hint="default"/>
          <w:sz w:val="24"/>
          <w:szCs w:val="24"/>
        </w:rPr>
        <w:t>La obra permitirá reducir tiempos de traslado, mejorar la comercialización de productos agrícolas y fortalecer la movilidad rural. Su entrega está prevista para los primeros meses de 2026, marcando un antes y un después en la conectividad regional.</w:t>
      </w:r>
    </w:p>
    <w:p w14:paraId="0EA55A0B">
      <w:pPr>
        <w:pStyle w:val="39"/>
        <w:tabs>
          <w:tab w:val="right" w:pos="8498"/>
        </w:tabs>
        <w:jc w:val="both"/>
        <w:rPr>
          <w:rFonts w:hint="default"/>
          <w:sz w:val="24"/>
          <w:szCs w:val="24"/>
        </w:rPr>
      </w:pPr>
    </w:p>
    <w:p w14:paraId="4C880BC1">
      <w:pPr>
        <w:pStyle w:val="39"/>
        <w:tabs>
          <w:tab w:val="right" w:pos="8498"/>
        </w:tabs>
        <w:jc w:val="both"/>
        <w:rPr>
          <w:rFonts w:hint="default"/>
          <w:b/>
          <w:bCs/>
          <w:sz w:val="24"/>
          <w:szCs w:val="24"/>
        </w:rPr>
      </w:pPr>
      <w:r>
        <w:rPr>
          <w:rFonts w:hint="default"/>
          <w:b/>
          <w:bCs/>
          <w:sz w:val="24"/>
          <w:szCs w:val="24"/>
        </w:rPr>
        <w:t>HABLEMOS TUNGURAHUA: GUARDIANES DE VIDA Y ESPERANZA</w:t>
      </w:r>
    </w:p>
    <w:p w14:paraId="6D51D134">
      <w:pPr>
        <w:pStyle w:val="39"/>
        <w:tabs>
          <w:tab w:val="right" w:pos="8498"/>
        </w:tabs>
        <w:jc w:val="both"/>
        <w:rPr>
          <w:rFonts w:hint="default"/>
          <w:sz w:val="24"/>
          <w:szCs w:val="24"/>
        </w:rPr>
      </w:pPr>
    </w:p>
    <w:p w14:paraId="38125D81">
      <w:pPr>
        <w:pStyle w:val="39"/>
        <w:tabs>
          <w:tab w:val="right" w:pos="8498"/>
        </w:tabs>
        <w:jc w:val="both"/>
        <w:rPr>
          <w:rFonts w:hint="default"/>
          <w:sz w:val="24"/>
          <w:szCs w:val="24"/>
        </w:rPr>
      </w:pPr>
      <w:r>
        <w:rPr>
          <w:rFonts w:hint="default"/>
          <w:sz w:val="24"/>
          <w:szCs w:val="24"/>
        </w:rPr>
        <w:t xml:space="preserve">El eje social </w:t>
      </w:r>
      <w:r>
        <w:rPr>
          <w:rFonts w:hint="default"/>
          <w:sz w:val="24"/>
          <w:szCs w:val="24"/>
          <w:lang w:val="es-ES"/>
        </w:rPr>
        <w:t>también se</w:t>
      </w:r>
      <w:r>
        <w:rPr>
          <w:rFonts w:hint="default"/>
          <w:sz w:val="24"/>
          <w:szCs w:val="24"/>
        </w:rPr>
        <w:t xml:space="preserve"> impulsa a través del Patronato Provincial, </w:t>
      </w:r>
      <w:r>
        <w:rPr>
          <w:rFonts w:hint="default"/>
          <w:sz w:val="24"/>
          <w:szCs w:val="24"/>
          <w:lang w:val="es-ES"/>
        </w:rPr>
        <w:t xml:space="preserve">entidad que </w:t>
      </w:r>
      <w:r>
        <w:rPr>
          <w:rFonts w:hint="default"/>
          <w:sz w:val="24"/>
          <w:szCs w:val="24"/>
        </w:rPr>
        <w:t xml:space="preserve">se enfoca en fortalecer el bienestar integral de las familias, priorizando la salud mental, la prevención y la atención humanitaria. Desde este compromiso nace el proyecto </w:t>
      </w:r>
      <w:r>
        <w:rPr>
          <w:rFonts w:hint="default"/>
          <w:b/>
          <w:bCs/>
          <w:sz w:val="24"/>
          <w:szCs w:val="24"/>
        </w:rPr>
        <w:t>“Hablemos Tungurahua”,</w:t>
      </w:r>
      <w:r>
        <w:rPr>
          <w:rFonts w:hint="default"/>
          <w:sz w:val="24"/>
          <w:szCs w:val="24"/>
        </w:rPr>
        <w:t xml:space="preserve"> iniciativa nacida en 2024 en el marco del </w:t>
      </w:r>
      <w:r>
        <w:rPr>
          <w:rFonts w:hint="default"/>
          <w:b/>
          <w:bCs/>
          <w:sz w:val="24"/>
          <w:szCs w:val="24"/>
        </w:rPr>
        <w:t>Mes de la Prevención del Suicidio</w:t>
      </w:r>
      <w:r>
        <w:rPr>
          <w:rFonts w:hint="default"/>
          <w:sz w:val="24"/>
          <w:szCs w:val="24"/>
        </w:rPr>
        <w:t>.</w:t>
      </w:r>
    </w:p>
    <w:p w14:paraId="128BAB10">
      <w:pPr>
        <w:pStyle w:val="39"/>
        <w:tabs>
          <w:tab w:val="right" w:pos="8498"/>
        </w:tabs>
        <w:jc w:val="both"/>
        <w:rPr>
          <w:rFonts w:hint="default"/>
          <w:sz w:val="24"/>
          <w:szCs w:val="24"/>
        </w:rPr>
      </w:pPr>
      <w:r>
        <w:rPr>
          <w:rFonts w:hint="default"/>
          <w:sz w:val="24"/>
          <w:szCs w:val="24"/>
        </w:rPr>
        <w:t>Su objetivo es promover la salud mental, la empatía y la resiliencia mediante acompañamiento psicológico, actividades culturales y espacios de diálogo, además de atención gratuita a través del número</w:t>
      </w:r>
      <w:r>
        <w:rPr>
          <w:rFonts w:hint="default"/>
          <w:b/>
          <w:bCs/>
          <w:sz w:val="24"/>
          <w:szCs w:val="24"/>
        </w:rPr>
        <w:t xml:space="preserve"> 0997245531.</w:t>
      </w:r>
    </w:p>
    <w:p w14:paraId="4A771264">
      <w:pPr>
        <w:pStyle w:val="39"/>
        <w:tabs>
          <w:tab w:val="right" w:pos="8498"/>
        </w:tabs>
        <w:jc w:val="both"/>
        <w:rPr>
          <w:rFonts w:hint="default"/>
          <w:sz w:val="24"/>
          <w:szCs w:val="24"/>
        </w:rPr>
      </w:pPr>
    </w:p>
    <w:p w14:paraId="34A9FE25">
      <w:pPr>
        <w:pStyle w:val="39"/>
        <w:tabs>
          <w:tab w:val="right" w:pos="8498"/>
        </w:tabs>
        <w:jc w:val="both"/>
        <w:rPr>
          <w:rFonts w:hint="default"/>
          <w:sz w:val="24"/>
          <w:szCs w:val="24"/>
        </w:rPr>
      </w:pPr>
      <w:r>
        <w:rPr>
          <w:rFonts w:hint="default"/>
          <w:sz w:val="24"/>
          <w:szCs w:val="24"/>
        </w:rPr>
        <w:t>El programa, liderado por Narciza Masaquiza, presidenta del Patronato, y Juan Manuel Armendáriz, administrador, ha beneficiado a más de</w:t>
      </w:r>
      <w:r>
        <w:rPr>
          <w:rFonts w:hint="default"/>
          <w:b/>
          <w:bCs/>
          <w:sz w:val="24"/>
          <w:szCs w:val="24"/>
        </w:rPr>
        <w:t xml:space="preserve"> 5.000 personas</w:t>
      </w:r>
      <w:r>
        <w:rPr>
          <w:rFonts w:hint="default"/>
          <w:sz w:val="24"/>
          <w:szCs w:val="24"/>
        </w:rPr>
        <w:t xml:space="preserve"> en los nueve cantones</w:t>
      </w:r>
      <w:r>
        <w:rPr>
          <w:rFonts w:hint="default"/>
          <w:sz w:val="24"/>
          <w:szCs w:val="24"/>
          <w:lang w:val="es-ES"/>
        </w:rPr>
        <w:t xml:space="preserve">, </w:t>
      </w:r>
      <w:r>
        <w:rPr>
          <w:rFonts w:hint="default"/>
          <w:sz w:val="24"/>
          <w:szCs w:val="24"/>
        </w:rPr>
        <w:t xml:space="preserve">con apoyo de profesionales y estudiantes de la Universidad Técnica de Ambato. Se </w:t>
      </w:r>
      <w:r>
        <w:rPr>
          <w:rFonts w:hint="default"/>
          <w:sz w:val="24"/>
          <w:szCs w:val="24"/>
          <w:lang w:val="es-ES"/>
        </w:rPr>
        <w:t xml:space="preserve">planifican </w:t>
      </w:r>
      <w:r>
        <w:rPr>
          <w:rFonts w:hint="default"/>
          <w:sz w:val="24"/>
          <w:szCs w:val="24"/>
        </w:rPr>
        <w:t>estrategias territoriales junto a municipios, trabajo grupal con adolescentes y brigadas móviles de atención emocional.</w:t>
      </w:r>
    </w:p>
    <w:p w14:paraId="534F119A">
      <w:pPr>
        <w:pStyle w:val="39"/>
        <w:tabs>
          <w:tab w:val="right" w:pos="8498"/>
        </w:tabs>
        <w:jc w:val="both"/>
        <w:rPr>
          <w:rFonts w:hint="default"/>
          <w:sz w:val="24"/>
          <w:szCs w:val="24"/>
        </w:rPr>
      </w:pPr>
      <w:r>
        <w:rPr>
          <w:rFonts w:hint="default"/>
          <w:sz w:val="24"/>
          <w:szCs w:val="24"/>
        </w:rPr>
        <w:t xml:space="preserve">Actualmente, </w:t>
      </w:r>
      <w:r>
        <w:rPr>
          <w:rFonts w:hint="default"/>
          <w:b/>
          <w:bCs/>
          <w:sz w:val="24"/>
          <w:szCs w:val="24"/>
        </w:rPr>
        <w:t xml:space="preserve">el proyecto </w:t>
      </w:r>
      <w:r>
        <w:rPr>
          <w:rFonts w:hint="default"/>
          <w:b/>
          <w:bCs/>
          <w:sz w:val="24"/>
          <w:szCs w:val="24"/>
          <w:lang w:val="es-ES"/>
        </w:rPr>
        <w:t xml:space="preserve">es </w:t>
      </w:r>
      <w:r>
        <w:rPr>
          <w:rFonts w:hint="default"/>
          <w:b/>
          <w:bCs/>
          <w:sz w:val="24"/>
          <w:szCs w:val="24"/>
        </w:rPr>
        <w:t>finalista entre 330 propuestas en el concurso nacional Prácticas Ejemplares Ecuador</w:t>
      </w:r>
      <w:r>
        <w:rPr>
          <w:rFonts w:hint="default"/>
          <w:sz w:val="24"/>
          <w:szCs w:val="24"/>
        </w:rPr>
        <w:t>, organizado por la Corporación Líderes para Gobernar, en la categoría Salud y Bienestar. La premiación se realizará el 19 de noviembre en Quito.</w:t>
      </w:r>
    </w:p>
    <w:p w14:paraId="15EF6DE8">
      <w:pPr>
        <w:pStyle w:val="39"/>
        <w:tabs>
          <w:tab w:val="right" w:pos="8498"/>
        </w:tabs>
        <w:jc w:val="both"/>
        <w:rPr>
          <w:rFonts w:hint="default"/>
          <w:sz w:val="24"/>
          <w:szCs w:val="24"/>
        </w:rPr>
      </w:pPr>
    </w:p>
    <w:p w14:paraId="04A6E08B">
      <w:pPr>
        <w:pStyle w:val="39"/>
        <w:tabs>
          <w:tab w:val="right" w:pos="8498"/>
        </w:tabs>
        <w:jc w:val="both"/>
        <w:rPr>
          <w:rFonts w:hint="default"/>
          <w:b/>
          <w:bCs/>
          <w:sz w:val="24"/>
          <w:szCs w:val="24"/>
        </w:rPr>
      </w:pPr>
      <w:r>
        <w:rPr>
          <w:rFonts w:hint="default"/>
          <w:b/>
          <w:bCs/>
          <w:sz w:val="24"/>
          <w:szCs w:val="24"/>
        </w:rPr>
        <w:t>UNA GESTIÓN CON PROPÓSITO</w:t>
      </w:r>
    </w:p>
    <w:p w14:paraId="28D15E19">
      <w:pPr>
        <w:pStyle w:val="39"/>
        <w:tabs>
          <w:tab w:val="right" w:pos="8498"/>
        </w:tabs>
        <w:jc w:val="both"/>
        <w:rPr>
          <w:rFonts w:hint="default"/>
          <w:sz w:val="24"/>
          <w:szCs w:val="24"/>
        </w:rPr>
      </w:pPr>
    </w:p>
    <w:p w14:paraId="3477C23A">
      <w:pPr>
        <w:pStyle w:val="39"/>
        <w:tabs>
          <w:tab w:val="right" w:pos="8498"/>
        </w:tabs>
        <w:jc w:val="both"/>
        <w:rPr>
          <w:rFonts w:hint="default"/>
          <w:sz w:val="24"/>
          <w:szCs w:val="24"/>
        </w:rPr>
      </w:pPr>
      <w:r>
        <w:rPr>
          <w:rFonts w:hint="default"/>
          <w:sz w:val="24"/>
          <w:szCs w:val="24"/>
        </w:rPr>
        <w:t>Con obras que trascienden lo técnico y lo social, el Gobierno Provincial</w:t>
      </w:r>
      <w:r>
        <w:rPr>
          <w:rFonts w:hint="default"/>
          <w:sz w:val="24"/>
          <w:szCs w:val="24"/>
          <w:lang w:val="es-ES"/>
        </w:rPr>
        <w:t xml:space="preserve"> de Tungurahua y el Patronato Provincial</w:t>
      </w:r>
      <w:r>
        <w:rPr>
          <w:rFonts w:hint="default"/>
          <w:sz w:val="24"/>
          <w:szCs w:val="24"/>
        </w:rPr>
        <w:t xml:space="preserve"> reafirma</w:t>
      </w:r>
      <w:r>
        <w:rPr>
          <w:rFonts w:hint="default"/>
          <w:sz w:val="24"/>
          <w:szCs w:val="24"/>
          <w:lang w:val="es-ES"/>
        </w:rPr>
        <w:t>n</w:t>
      </w:r>
      <w:bookmarkStart w:id="0" w:name="_GoBack"/>
      <w:bookmarkEnd w:id="0"/>
      <w:r>
        <w:rPr>
          <w:rFonts w:hint="default"/>
          <w:sz w:val="24"/>
          <w:szCs w:val="24"/>
        </w:rPr>
        <w:t xml:space="preserve"> su compromiso con el desarrollo integral del territorio.</w:t>
      </w:r>
    </w:p>
    <w:p w14:paraId="3491E15B">
      <w:pPr>
        <w:pStyle w:val="39"/>
        <w:tabs>
          <w:tab w:val="right" w:pos="8498"/>
        </w:tabs>
        <w:jc w:val="both"/>
        <w:rPr>
          <w:rFonts w:cs="Calibri"/>
          <w:sz w:val="24"/>
          <w:szCs w:val="24"/>
        </w:rPr>
      </w:pPr>
      <w:r>
        <w:rPr>
          <w:rFonts w:hint="default"/>
          <w:sz w:val="24"/>
          <w:szCs w:val="24"/>
        </w:rPr>
        <w:t>Embalses, carreteras y proyectos humanos se entrelazan bajo una misma visión: construir una provincia más justa, productiva y solidaria, donde cada obra representa un paso firme hacia el bienestar y el futuro de las próximas generaciones.</w:t>
      </w:r>
    </w:p>
    <w:p w14:paraId="0552C3D6">
      <w:pPr>
        <w:pStyle w:val="39"/>
        <w:jc w:val="both"/>
        <w:rPr>
          <w:lang/>
        </w:rPr>
      </w:pP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4"/>
    </w:pPr>
    <w:r>
      <w:drawing>
        <wp:anchor distT="0" distB="0" distL="114300" distR="114300" simplePos="0" relativeHeight="251659264" behindDoc="1" locked="0" layoutInCell="1" allowOverlap="1">
          <wp:simplePos x="0" y="0"/>
          <wp:positionH relativeFrom="column">
            <wp:posOffset>-1069340</wp:posOffset>
          </wp:positionH>
          <wp:positionV relativeFrom="paragraph">
            <wp:posOffset>-427990</wp:posOffset>
          </wp:positionV>
          <wp:extent cx="7536180" cy="10651490"/>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023D0"/>
    <w:rsid w:val="00011E93"/>
    <w:rsid w:val="000513D5"/>
    <w:rsid w:val="00071097"/>
    <w:rsid w:val="00082F20"/>
    <w:rsid w:val="000A1068"/>
    <w:rsid w:val="000E0703"/>
    <w:rsid w:val="000E49EB"/>
    <w:rsid w:val="000F5273"/>
    <w:rsid w:val="001074B1"/>
    <w:rsid w:val="00113B7B"/>
    <w:rsid w:val="0012104E"/>
    <w:rsid w:val="00137016"/>
    <w:rsid w:val="001551B4"/>
    <w:rsid w:val="00160D8B"/>
    <w:rsid w:val="00162A1D"/>
    <w:rsid w:val="00165CC7"/>
    <w:rsid w:val="00166639"/>
    <w:rsid w:val="001949F1"/>
    <w:rsid w:val="001B378E"/>
    <w:rsid w:val="001D74C3"/>
    <w:rsid w:val="002175F9"/>
    <w:rsid w:val="00224663"/>
    <w:rsid w:val="00277FD3"/>
    <w:rsid w:val="002D2DDB"/>
    <w:rsid w:val="002E5D3D"/>
    <w:rsid w:val="002F1516"/>
    <w:rsid w:val="0032182E"/>
    <w:rsid w:val="00322250"/>
    <w:rsid w:val="00352C24"/>
    <w:rsid w:val="00352E9A"/>
    <w:rsid w:val="00354587"/>
    <w:rsid w:val="00354C43"/>
    <w:rsid w:val="003576C1"/>
    <w:rsid w:val="003677C5"/>
    <w:rsid w:val="00374012"/>
    <w:rsid w:val="003C6BD4"/>
    <w:rsid w:val="003C7792"/>
    <w:rsid w:val="003D64FC"/>
    <w:rsid w:val="003E3DD6"/>
    <w:rsid w:val="003E72FC"/>
    <w:rsid w:val="003F6802"/>
    <w:rsid w:val="004031EA"/>
    <w:rsid w:val="004255AE"/>
    <w:rsid w:val="00427686"/>
    <w:rsid w:val="00450032"/>
    <w:rsid w:val="00465118"/>
    <w:rsid w:val="00474340"/>
    <w:rsid w:val="0048511B"/>
    <w:rsid w:val="00493215"/>
    <w:rsid w:val="004A1A4D"/>
    <w:rsid w:val="004F6EDE"/>
    <w:rsid w:val="00502C24"/>
    <w:rsid w:val="0050664B"/>
    <w:rsid w:val="00523E31"/>
    <w:rsid w:val="00533C95"/>
    <w:rsid w:val="00540584"/>
    <w:rsid w:val="005471A7"/>
    <w:rsid w:val="00554BE2"/>
    <w:rsid w:val="00562680"/>
    <w:rsid w:val="00584F62"/>
    <w:rsid w:val="00593C86"/>
    <w:rsid w:val="00595F2D"/>
    <w:rsid w:val="005B1685"/>
    <w:rsid w:val="005B4A2D"/>
    <w:rsid w:val="005E1384"/>
    <w:rsid w:val="00613EBA"/>
    <w:rsid w:val="00622C68"/>
    <w:rsid w:val="00641180"/>
    <w:rsid w:val="006414C7"/>
    <w:rsid w:val="00642AB2"/>
    <w:rsid w:val="00645629"/>
    <w:rsid w:val="00684F85"/>
    <w:rsid w:val="00685A63"/>
    <w:rsid w:val="006B070D"/>
    <w:rsid w:val="006B5108"/>
    <w:rsid w:val="006B52B2"/>
    <w:rsid w:val="006C1836"/>
    <w:rsid w:val="006D14B9"/>
    <w:rsid w:val="006D1644"/>
    <w:rsid w:val="006F1880"/>
    <w:rsid w:val="006F4F62"/>
    <w:rsid w:val="0072399D"/>
    <w:rsid w:val="007355AD"/>
    <w:rsid w:val="007463DB"/>
    <w:rsid w:val="00750C44"/>
    <w:rsid w:val="0075443A"/>
    <w:rsid w:val="0077569B"/>
    <w:rsid w:val="00776C7E"/>
    <w:rsid w:val="00787AA8"/>
    <w:rsid w:val="00790797"/>
    <w:rsid w:val="00795547"/>
    <w:rsid w:val="007A49AB"/>
    <w:rsid w:val="007B4795"/>
    <w:rsid w:val="007D1144"/>
    <w:rsid w:val="007D38E5"/>
    <w:rsid w:val="007D4310"/>
    <w:rsid w:val="007D7E9C"/>
    <w:rsid w:val="00821383"/>
    <w:rsid w:val="00822829"/>
    <w:rsid w:val="008257BB"/>
    <w:rsid w:val="00826051"/>
    <w:rsid w:val="008361BB"/>
    <w:rsid w:val="00853188"/>
    <w:rsid w:val="008618B4"/>
    <w:rsid w:val="00873AE4"/>
    <w:rsid w:val="008775C6"/>
    <w:rsid w:val="00881A30"/>
    <w:rsid w:val="0088774B"/>
    <w:rsid w:val="0089271D"/>
    <w:rsid w:val="008A60E2"/>
    <w:rsid w:val="008B30B0"/>
    <w:rsid w:val="00904A70"/>
    <w:rsid w:val="00922BBD"/>
    <w:rsid w:val="00925584"/>
    <w:rsid w:val="0093663A"/>
    <w:rsid w:val="0094216E"/>
    <w:rsid w:val="009513F2"/>
    <w:rsid w:val="00962E74"/>
    <w:rsid w:val="0099578F"/>
    <w:rsid w:val="00996990"/>
    <w:rsid w:val="009C41E4"/>
    <w:rsid w:val="009F29F0"/>
    <w:rsid w:val="00A03755"/>
    <w:rsid w:val="00A1420C"/>
    <w:rsid w:val="00A17A9F"/>
    <w:rsid w:val="00A20628"/>
    <w:rsid w:val="00A21353"/>
    <w:rsid w:val="00A544F1"/>
    <w:rsid w:val="00A5515F"/>
    <w:rsid w:val="00A56BBB"/>
    <w:rsid w:val="00A73DF4"/>
    <w:rsid w:val="00A83475"/>
    <w:rsid w:val="00A948B0"/>
    <w:rsid w:val="00AC6974"/>
    <w:rsid w:val="00AE70A7"/>
    <w:rsid w:val="00AF7FCE"/>
    <w:rsid w:val="00B13276"/>
    <w:rsid w:val="00B35BF8"/>
    <w:rsid w:val="00B417FD"/>
    <w:rsid w:val="00B5467E"/>
    <w:rsid w:val="00B64A9D"/>
    <w:rsid w:val="00B85D58"/>
    <w:rsid w:val="00B86292"/>
    <w:rsid w:val="00BA5FE5"/>
    <w:rsid w:val="00BA7B54"/>
    <w:rsid w:val="00BB6608"/>
    <w:rsid w:val="00BC0C3D"/>
    <w:rsid w:val="00BE4629"/>
    <w:rsid w:val="00BF004F"/>
    <w:rsid w:val="00C33DCE"/>
    <w:rsid w:val="00C446B0"/>
    <w:rsid w:val="00C447DB"/>
    <w:rsid w:val="00C45FD4"/>
    <w:rsid w:val="00C46FB5"/>
    <w:rsid w:val="00C93276"/>
    <w:rsid w:val="00C94809"/>
    <w:rsid w:val="00C96193"/>
    <w:rsid w:val="00CA2E87"/>
    <w:rsid w:val="00CA682D"/>
    <w:rsid w:val="00CC4F1B"/>
    <w:rsid w:val="00CE5781"/>
    <w:rsid w:val="00D05591"/>
    <w:rsid w:val="00D078A5"/>
    <w:rsid w:val="00D127E6"/>
    <w:rsid w:val="00D6123C"/>
    <w:rsid w:val="00D75A34"/>
    <w:rsid w:val="00D87CEB"/>
    <w:rsid w:val="00DA28B1"/>
    <w:rsid w:val="00DE1C22"/>
    <w:rsid w:val="00DE620F"/>
    <w:rsid w:val="00E01399"/>
    <w:rsid w:val="00E05037"/>
    <w:rsid w:val="00E17F21"/>
    <w:rsid w:val="00E22C82"/>
    <w:rsid w:val="00E369D9"/>
    <w:rsid w:val="00E449F4"/>
    <w:rsid w:val="00E75551"/>
    <w:rsid w:val="00E812AD"/>
    <w:rsid w:val="00E81A88"/>
    <w:rsid w:val="00E942EE"/>
    <w:rsid w:val="00EA36DC"/>
    <w:rsid w:val="00EB0E6E"/>
    <w:rsid w:val="00EC471A"/>
    <w:rsid w:val="00EE6E28"/>
    <w:rsid w:val="00EF179A"/>
    <w:rsid w:val="00F05506"/>
    <w:rsid w:val="00F06D1C"/>
    <w:rsid w:val="00F14E7F"/>
    <w:rsid w:val="00F24F7D"/>
    <w:rsid w:val="00F2640C"/>
    <w:rsid w:val="00F37C57"/>
    <w:rsid w:val="00F6429C"/>
    <w:rsid w:val="00F65CCC"/>
    <w:rsid w:val="00F93DFB"/>
    <w:rsid w:val="00FB0096"/>
    <w:rsid w:val="00FB0762"/>
    <w:rsid w:val="00FB6842"/>
    <w:rsid w:val="00FC1D70"/>
    <w:rsid w:val="00FE226A"/>
    <w:rsid w:val="11B843DE"/>
    <w:rsid w:val="535F3915"/>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paragraph" w:styleId="14">
    <w:name w:val="header"/>
    <w:basedOn w:val="1"/>
    <w:link w:val="37"/>
    <w:unhideWhenUsed/>
    <w:qFormat/>
    <w:uiPriority w:val="99"/>
    <w:pPr>
      <w:tabs>
        <w:tab w:val="center" w:pos="4419"/>
        <w:tab w:val="right" w:pos="8838"/>
      </w:tabs>
    </w:pPr>
  </w:style>
  <w:style w:type="paragraph" w:styleId="15">
    <w:name w:val="Normal (Web)"/>
    <w:basedOn w:val="1"/>
    <w:semiHidden/>
    <w:unhideWhenUsed/>
    <w:qFormat/>
    <w:uiPriority w:val="99"/>
    <w:pPr>
      <w:spacing w:before="100" w:beforeAutospacing="1" w:after="100" w:afterAutospacing="1"/>
    </w:pPr>
    <w:rPr>
      <w:rFonts w:ascii="Times New Roman" w:hAnsi="Times New Roman" w:eastAsia="Times New Roman" w:cs="Times New Roman"/>
      <w:kern w:val="0"/>
      <w:lang w:val="es-MX" w:eastAsia="es-MX"/>
      <w14:ligatures w14:val="none"/>
    </w:rPr>
  </w:style>
  <w:style w:type="paragraph" w:styleId="16">
    <w:name w:val="footer"/>
    <w:basedOn w:val="1"/>
    <w:link w:val="38"/>
    <w:unhideWhenUsed/>
    <w:qFormat/>
    <w:uiPriority w:val="99"/>
    <w:pPr>
      <w:tabs>
        <w:tab w:val="center" w:pos="4419"/>
        <w:tab w:val="right" w:pos="8838"/>
      </w:tabs>
    </w:p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2">
    <w:name w:val="Título 4 Car"/>
    <w:basedOn w:val="11"/>
    <w:link w:val="5"/>
    <w:semiHidden/>
    <w:qFormat/>
    <w:uiPriority w:val="9"/>
    <w:rPr>
      <w:rFonts w:eastAsiaTheme="majorEastAsia" w:cstheme="majorBidi"/>
      <w:i/>
      <w:iCs/>
      <w:color w:val="104862" w:themeColor="accent1" w:themeShade="BF"/>
    </w:rPr>
  </w:style>
  <w:style w:type="character" w:customStyle="1" w:styleId="23">
    <w:name w:val="Título 5 Car"/>
    <w:basedOn w:val="11"/>
    <w:link w:val="6"/>
    <w:semiHidden/>
    <w:qFormat/>
    <w:uiPriority w:val="9"/>
    <w:rPr>
      <w:rFonts w:eastAsiaTheme="majorEastAsia" w:cstheme="majorBidi"/>
      <w:color w:val="104862" w:themeColor="accent1" w:themeShade="BF"/>
    </w:rPr>
  </w:style>
  <w:style w:type="character" w:customStyle="1" w:styleId="24">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ítulo C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ítulo C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 C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Cita destacada C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Encabezado Car"/>
    <w:basedOn w:val="11"/>
    <w:link w:val="14"/>
    <w:qFormat/>
    <w:uiPriority w:val="99"/>
  </w:style>
  <w:style w:type="character" w:customStyle="1" w:styleId="38">
    <w:name w:val="Pie de página Car"/>
    <w:basedOn w:val="11"/>
    <w:link w:val="16"/>
    <w:qFormat/>
    <w:uiPriority w:val="99"/>
  </w:style>
  <w:style w:type="paragraph" w:styleId="39">
    <w:name w:val="No Spacing"/>
    <w:qFormat/>
    <w:uiPriority w:val="1"/>
    <w:rPr>
      <w:rFonts w:ascii="Calibri" w:hAnsi="Calibri" w:eastAsia="Calibri" w:cs="Times New Roman"/>
      <w:kern w:val="0"/>
      <w:sz w:val="22"/>
      <w:szCs w:val="22"/>
      <w:lang w:val="es-E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datastoreItem>
</file>

<file path=docProps/app.xml><?xml version="1.0" encoding="utf-8"?>
<Properties xmlns="http://schemas.openxmlformats.org/officeDocument/2006/extended-properties" xmlns:vt="http://schemas.openxmlformats.org/officeDocument/2006/docPropsVTypes">
  <Template>Normal</Template>
  <Pages>3</Pages>
  <Words>525</Words>
  <Characters>2892</Characters>
  <Lines>24</Lines>
  <Paragraphs>6</Paragraphs>
  <TotalTime>260</TotalTime>
  <ScaleCrop>false</ScaleCrop>
  <LinksUpToDate>false</LinksUpToDate>
  <CharactersWithSpaces>3411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2025-10-16T15:28:00Z</dcterms:created>
  <dc:creator>R. Externas</dc:creator>
  <cp:lastModifiedBy>USUARIO</cp:lastModifiedBy>
  <cp:lastPrinted>2025-11-06T16:18:00Z</cp:lastPrinted>
  <dcterms:modified xsi:type="dcterms:W3CDTF">2025-11-07T21:42:57Z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1DB764FB0B814EA9BF360503914918AF_13</vt:lpwstr>
  </property>
</Properties>
</file>