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DF7BD" w14:textId="77777777" w:rsidR="006479E8" w:rsidRDefault="006479E8" w:rsidP="00054E40">
      <w:pPr>
        <w:pStyle w:val="Sinespaciado"/>
        <w:tabs>
          <w:tab w:val="right" w:pos="8498"/>
        </w:tabs>
        <w:rPr>
          <w:rFonts w:cs="Calibri"/>
          <w:b/>
          <w:bCs/>
          <w:sz w:val="32"/>
          <w:szCs w:val="32"/>
        </w:rPr>
      </w:pPr>
    </w:p>
    <w:p w14:paraId="3EC59272" w14:textId="77777777" w:rsidR="00D373D6" w:rsidRPr="001013C4" w:rsidRDefault="0063033A" w:rsidP="00D373D6">
      <w:pPr>
        <w:pStyle w:val="Sinespaciado"/>
        <w:jc w:val="center"/>
        <w:rPr>
          <w:rFonts w:cs="Calibri"/>
          <w:b/>
          <w:bCs/>
          <w:sz w:val="24"/>
          <w:szCs w:val="24"/>
        </w:rPr>
      </w:pPr>
      <w:r w:rsidRPr="001013C4">
        <w:rPr>
          <w:rFonts w:cs="Calibri"/>
          <w:b/>
          <w:bCs/>
          <w:sz w:val="24"/>
          <w:szCs w:val="24"/>
        </w:rPr>
        <w:t>BOLETÍN DE PRENSA</w:t>
      </w:r>
    </w:p>
    <w:p w14:paraId="34B7F5C1" w14:textId="5BF4999B" w:rsidR="00153DB3" w:rsidRPr="001013C4" w:rsidRDefault="0063033A" w:rsidP="00153DB3">
      <w:pPr>
        <w:pStyle w:val="Sinespaciado"/>
        <w:rPr>
          <w:rFonts w:cs="Calibri"/>
          <w:b/>
          <w:bCs/>
          <w:sz w:val="24"/>
          <w:szCs w:val="24"/>
        </w:rPr>
      </w:pPr>
      <w:r w:rsidRPr="001013C4">
        <w:rPr>
          <w:rFonts w:cs="Calibri"/>
          <w:b/>
          <w:bCs/>
          <w:sz w:val="24"/>
          <w:szCs w:val="24"/>
        </w:rPr>
        <w:t>HGPT/8</w:t>
      </w:r>
      <w:r w:rsidR="00E02032" w:rsidRPr="001013C4">
        <w:rPr>
          <w:rFonts w:cs="Calibri"/>
          <w:b/>
          <w:bCs/>
          <w:sz w:val="24"/>
          <w:szCs w:val="24"/>
        </w:rPr>
        <w:t>5</w:t>
      </w:r>
      <w:r w:rsidR="001013C4" w:rsidRPr="001013C4">
        <w:rPr>
          <w:rFonts w:cs="Calibri"/>
          <w:b/>
          <w:bCs/>
          <w:sz w:val="24"/>
          <w:szCs w:val="24"/>
        </w:rPr>
        <w:t>1</w:t>
      </w:r>
      <w:r w:rsidRPr="001013C4">
        <w:rPr>
          <w:rFonts w:cs="Calibri"/>
          <w:b/>
          <w:bCs/>
          <w:sz w:val="24"/>
          <w:szCs w:val="24"/>
        </w:rPr>
        <w:t>/</w:t>
      </w:r>
      <w:r w:rsidR="00454972" w:rsidRPr="001013C4">
        <w:rPr>
          <w:rFonts w:cs="Calibri"/>
          <w:b/>
          <w:bCs/>
          <w:sz w:val="24"/>
          <w:szCs w:val="24"/>
        </w:rPr>
        <w:t>1</w:t>
      </w:r>
      <w:r w:rsidR="00A65D08" w:rsidRPr="001013C4">
        <w:rPr>
          <w:rFonts w:cs="Calibri"/>
          <w:b/>
          <w:bCs/>
          <w:sz w:val="24"/>
          <w:szCs w:val="24"/>
        </w:rPr>
        <w:t>9</w:t>
      </w:r>
      <w:r w:rsidRPr="001013C4">
        <w:rPr>
          <w:rFonts w:cs="Calibri"/>
          <w:b/>
          <w:bCs/>
          <w:sz w:val="24"/>
          <w:szCs w:val="24"/>
        </w:rPr>
        <w:t>/11/2025</w:t>
      </w:r>
    </w:p>
    <w:p w14:paraId="2009D8A3" w14:textId="77777777" w:rsidR="00E02032" w:rsidRPr="001013C4" w:rsidRDefault="00E02032" w:rsidP="001013C4">
      <w:pPr>
        <w:pStyle w:val="Sinespaciado"/>
        <w:rPr>
          <w:rFonts w:cs="Calibri"/>
          <w:b/>
          <w:bCs/>
          <w:lang w:val="es-ES_tradnl"/>
        </w:rPr>
      </w:pPr>
    </w:p>
    <w:p w14:paraId="1C364377" w14:textId="77777777" w:rsidR="001013C4" w:rsidRPr="001013C4" w:rsidRDefault="001013C4" w:rsidP="001013C4">
      <w:pPr>
        <w:pStyle w:val="Sinespaciado"/>
        <w:jc w:val="center"/>
        <w:rPr>
          <w:rFonts w:cs="Calibri"/>
          <w:b/>
          <w:bCs/>
          <w:lang w:val="es-ES_tradnl"/>
        </w:rPr>
      </w:pPr>
      <w:r w:rsidRPr="001013C4">
        <w:rPr>
          <w:rFonts w:cs="Calibri"/>
          <w:b/>
          <w:bCs/>
          <w:lang w:val="es-ES_tradnl"/>
        </w:rPr>
        <w:t>MODERNIZACIÓN ACUÍCOLA EN PUCUTAHUA CON MEMBRANA PLÁSTICA</w:t>
      </w:r>
    </w:p>
    <w:p w14:paraId="5CF45547" w14:textId="0D0537B1" w:rsidR="001013C4" w:rsidRPr="001013C4" w:rsidRDefault="001013C4" w:rsidP="001013C4">
      <w:pPr>
        <w:pStyle w:val="Sinespaciado"/>
        <w:jc w:val="center"/>
        <w:rPr>
          <w:rFonts w:cs="Calibri"/>
          <w:b/>
          <w:bCs/>
          <w:lang w:val="es-ES_tradnl"/>
        </w:rPr>
      </w:pPr>
      <w:r w:rsidRPr="001013C4">
        <w:rPr>
          <w:rFonts w:cs="Calibri"/>
          <w:b/>
          <w:bCs/>
          <w:lang w:val="es-ES_tradnl"/>
        </w:rPr>
        <w:t xml:space="preserve"> PARA EL CULTIVO DE TRUCHAS</w:t>
      </w:r>
    </w:p>
    <w:p w14:paraId="24786A06" w14:textId="77777777" w:rsidR="001013C4" w:rsidRPr="001013C4" w:rsidRDefault="001013C4" w:rsidP="001013C4">
      <w:pPr>
        <w:pStyle w:val="Sinespaciado"/>
        <w:jc w:val="both"/>
        <w:rPr>
          <w:rFonts w:cs="Calibri"/>
          <w:lang w:val="es-ES_tradnl"/>
        </w:rPr>
      </w:pPr>
    </w:p>
    <w:p w14:paraId="32BCFAB1" w14:textId="77777777" w:rsidR="001013C4" w:rsidRPr="001013C4" w:rsidRDefault="001013C4" w:rsidP="001013C4">
      <w:pPr>
        <w:pStyle w:val="Sinespaciado"/>
        <w:jc w:val="both"/>
        <w:rPr>
          <w:rFonts w:cs="Calibri"/>
          <w:lang w:val="es-ES_tradnl"/>
        </w:rPr>
      </w:pPr>
      <w:r w:rsidRPr="001013C4">
        <w:rPr>
          <w:rFonts w:cs="Calibri"/>
          <w:lang w:val="es-ES_tradnl"/>
        </w:rPr>
        <w:t xml:space="preserve">El Gobierno Provincial de Tungurahua, en cumplimiento de los compromisos establecidos para el año 2025 dentro de la implementación de los Planes de Manejo de Páramo, ejecuta un importante proyecto de fortalecimiento acuícola en la Asociación </w:t>
      </w:r>
      <w:proofErr w:type="spellStart"/>
      <w:r w:rsidRPr="001013C4">
        <w:rPr>
          <w:rFonts w:cs="Calibri"/>
          <w:lang w:val="es-ES_tradnl"/>
        </w:rPr>
        <w:t>Pucutahua</w:t>
      </w:r>
      <w:proofErr w:type="spellEnd"/>
      <w:r w:rsidRPr="001013C4">
        <w:rPr>
          <w:rFonts w:cs="Calibri"/>
          <w:lang w:val="es-ES_tradnl"/>
        </w:rPr>
        <w:t>, parroquia San Fernando.</w:t>
      </w:r>
    </w:p>
    <w:p w14:paraId="2F565A7D" w14:textId="77777777" w:rsidR="001013C4" w:rsidRPr="001013C4" w:rsidRDefault="001013C4" w:rsidP="001013C4">
      <w:pPr>
        <w:pStyle w:val="Sinespaciado"/>
        <w:jc w:val="both"/>
        <w:rPr>
          <w:rFonts w:cs="Calibri"/>
          <w:lang w:val="es-ES_tradnl"/>
        </w:rPr>
      </w:pPr>
    </w:p>
    <w:p w14:paraId="3A882ADE" w14:textId="1A8A19BF" w:rsidR="001013C4" w:rsidRPr="001013C4" w:rsidRDefault="001013C4" w:rsidP="001013C4">
      <w:pPr>
        <w:pStyle w:val="Sinespaciado"/>
        <w:jc w:val="both"/>
        <w:rPr>
          <w:rFonts w:cs="Calibri"/>
          <w:lang w:val="es-ES_tradnl"/>
        </w:rPr>
      </w:pPr>
      <w:r w:rsidRPr="001013C4">
        <w:rPr>
          <w:rFonts w:cs="Calibri"/>
          <w:lang w:val="es-ES_tradnl"/>
        </w:rPr>
        <w:t>Este proyecto se</w:t>
      </w:r>
      <w:r w:rsidRPr="001013C4">
        <w:rPr>
          <w:rFonts w:cs="Calibri"/>
          <w:lang w:val="es-ES_tradnl"/>
        </w:rPr>
        <w:t xml:space="preserve"> trata de la colocación de una membrana plástica (geomembrana) en los estanques destinados al cultivo de truchas, una intervención técnica destinada a mejorar las condiciones de producción y evaluar nuevas alternativas sostenibles para las comunidades de páramo.</w:t>
      </w:r>
    </w:p>
    <w:p w14:paraId="14E15374" w14:textId="77777777" w:rsidR="001013C4" w:rsidRPr="001013C4" w:rsidRDefault="001013C4" w:rsidP="001013C4">
      <w:pPr>
        <w:pStyle w:val="Sinespaciado"/>
        <w:jc w:val="both"/>
        <w:rPr>
          <w:rFonts w:cs="Calibri"/>
          <w:lang w:val="es-ES_tradnl"/>
        </w:rPr>
      </w:pPr>
    </w:p>
    <w:p w14:paraId="234B4396" w14:textId="77777777" w:rsidR="001013C4" w:rsidRPr="001013C4" w:rsidRDefault="001013C4" w:rsidP="001013C4">
      <w:pPr>
        <w:pStyle w:val="Sinespaciado"/>
        <w:jc w:val="both"/>
        <w:rPr>
          <w:rFonts w:cs="Calibri"/>
          <w:lang w:val="es-ES_tradnl"/>
        </w:rPr>
      </w:pPr>
      <w:r w:rsidRPr="001013C4">
        <w:rPr>
          <w:rFonts w:cs="Calibri"/>
          <w:lang w:val="es-ES_tradnl"/>
        </w:rPr>
        <w:t>La instalación de la geomembrana forma parte de un proceso de verificación y comparación entre dos modalidades de cultivo: dentro de un invernadero con uso de membrana plástica y fuera del invernadero sin este revestimiento. Con ello se busca obtener datos reales sobre el crecimiento de las truchas, su tasa de supervivencia, el rendimiento productivo y la eficiencia en el uso del agua, aspectos fundamentales para determinar prácticas óptimas de piscicultura en zonas de clima frío.</w:t>
      </w:r>
    </w:p>
    <w:p w14:paraId="196C9F0C" w14:textId="77777777" w:rsidR="001013C4" w:rsidRPr="001013C4" w:rsidRDefault="001013C4" w:rsidP="001013C4">
      <w:pPr>
        <w:pStyle w:val="Sinespaciado"/>
        <w:jc w:val="both"/>
        <w:rPr>
          <w:rFonts w:cs="Calibri"/>
          <w:lang w:val="es-ES_tradnl"/>
        </w:rPr>
      </w:pPr>
    </w:p>
    <w:p w14:paraId="771E42C2" w14:textId="737EBBB4" w:rsidR="001013C4" w:rsidRPr="001013C4" w:rsidRDefault="001013C4" w:rsidP="001013C4">
      <w:pPr>
        <w:pStyle w:val="Sinespaciado"/>
        <w:jc w:val="both"/>
        <w:rPr>
          <w:rFonts w:cs="Calibri"/>
          <w:lang w:val="es-ES_tradnl"/>
        </w:rPr>
      </w:pPr>
      <w:r w:rsidRPr="001013C4">
        <w:rPr>
          <w:rFonts w:cs="Calibri"/>
          <w:lang w:val="es-ES_tradnl"/>
        </w:rPr>
        <w:t>La geomembrana instalada aporta beneficios clave en el manejo acuícola. Entre ello</w:t>
      </w:r>
      <w:r w:rsidRPr="001013C4">
        <w:rPr>
          <w:rFonts w:cs="Calibri"/>
          <w:lang w:val="es-ES_tradnl"/>
        </w:rPr>
        <w:t>s se</w:t>
      </w:r>
      <w:r w:rsidRPr="001013C4">
        <w:rPr>
          <w:rFonts w:cs="Calibri"/>
          <w:lang w:val="es-ES_tradnl"/>
        </w:rPr>
        <w:t xml:space="preserve"> destacan:</w:t>
      </w:r>
    </w:p>
    <w:p w14:paraId="5EF3FD8B" w14:textId="77777777" w:rsidR="001013C4" w:rsidRPr="001013C4" w:rsidRDefault="001013C4" w:rsidP="001013C4">
      <w:pPr>
        <w:pStyle w:val="Sinespaciado"/>
        <w:jc w:val="both"/>
        <w:rPr>
          <w:rFonts w:cs="Calibri"/>
          <w:lang w:val="es-ES_tradnl"/>
        </w:rPr>
      </w:pPr>
    </w:p>
    <w:p w14:paraId="51529B15" w14:textId="77777777" w:rsidR="001013C4" w:rsidRPr="001013C4" w:rsidRDefault="001013C4" w:rsidP="001013C4">
      <w:pPr>
        <w:pStyle w:val="Sinespaciado"/>
        <w:numPr>
          <w:ilvl w:val="0"/>
          <w:numId w:val="8"/>
        </w:numPr>
        <w:jc w:val="both"/>
        <w:rPr>
          <w:rFonts w:cs="Calibri"/>
          <w:lang w:val="es-ES_tradnl"/>
        </w:rPr>
      </w:pPr>
      <w:r w:rsidRPr="001013C4">
        <w:rPr>
          <w:rFonts w:cs="Calibri"/>
          <w:lang w:val="es-ES_tradnl"/>
        </w:rPr>
        <w:t>Contención del agua, evitando fugas y pérdidas del recurso hídrico, lo que permite un uso más eficiente del agua disponible.</w:t>
      </w:r>
    </w:p>
    <w:p w14:paraId="4A528BEE" w14:textId="77777777" w:rsidR="001013C4" w:rsidRPr="001013C4" w:rsidRDefault="001013C4" w:rsidP="001013C4">
      <w:pPr>
        <w:pStyle w:val="Sinespaciado"/>
        <w:numPr>
          <w:ilvl w:val="0"/>
          <w:numId w:val="8"/>
        </w:numPr>
        <w:jc w:val="both"/>
        <w:rPr>
          <w:rFonts w:cs="Calibri"/>
          <w:lang w:val="es-ES_tradnl"/>
        </w:rPr>
      </w:pPr>
      <w:r w:rsidRPr="001013C4">
        <w:rPr>
          <w:rFonts w:cs="Calibri"/>
          <w:lang w:val="es-ES_tradnl"/>
        </w:rPr>
        <w:t>Mejoras en bioseguridad, ya que funciona como una barrera protectora frente a patógenos o factores externos que puedan afectar la salud de los peces.</w:t>
      </w:r>
    </w:p>
    <w:p w14:paraId="30CF865C" w14:textId="77777777" w:rsidR="001013C4" w:rsidRPr="001013C4" w:rsidRDefault="001013C4" w:rsidP="001013C4">
      <w:pPr>
        <w:pStyle w:val="Sinespaciado"/>
        <w:numPr>
          <w:ilvl w:val="0"/>
          <w:numId w:val="8"/>
        </w:numPr>
        <w:jc w:val="both"/>
        <w:rPr>
          <w:rFonts w:cs="Calibri"/>
          <w:lang w:val="es-ES_tradnl"/>
        </w:rPr>
      </w:pPr>
      <w:r w:rsidRPr="001013C4">
        <w:rPr>
          <w:rFonts w:cs="Calibri"/>
          <w:lang w:val="es-ES_tradnl"/>
        </w:rPr>
        <w:t>Optimización de la calidad del agua, al impedir el contacto directo con el suelo y reducir la entrada de sedimentos o materia orgánica, facilitando el mantenimiento.</w:t>
      </w:r>
    </w:p>
    <w:p w14:paraId="6995375D" w14:textId="77777777" w:rsidR="001013C4" w:rsidRPr="001013C4" w:rsidRDefault="001013C4" w:rsidP="001013C4">
      <w:pPr>
        <w:pStyle w:val="Sinespaciado"/>
        <w:numPr>
          <w:ilvl w:val="0"/>
          <w:numId w:val="8"/>
        </w:numPr>
        <w:jc w:val="both"/>
        <w:rPr>
          <w:rFonts w:cs="Calibri"/>
          <w:lang w:val="es-ES_tradnl"/>
        </w:rPr>
      </w:pPr>
      <w:r w:rsidRPr="001013C4">
        <w:rPr>
          <w:rFonts w:cs="Calibri"/>
          <w:lang w:val="es-ES_tradnl"/>
        </w:rPr>
        <w:t>Alta durabilidad, gracias a materiales resistentes a la radiación UV y a las condiciones ambientales del páramo, lo que garantiza una vida útil prolongada de los estanques.</w:t>
      </w:r>
    </w:p>
    <w:p w14:paraId="1C79E79E" w14:textId="77777777" w:rsidR="001013C4" w:rsidRPr="001013C4" w:rsidRDefault="001013C4" w:rsidP="001013C4">
      <w:pPr>
        <w:pStyle w:val="Sinespaciado"/>
        <w:jc w:val="both"/>
        <w:rPr>
          <w:rFonts w:cs="Calibri"/>
          <w:lang w:val="es-ES_tradnl"/>
        </w:rPr>
      </w:pPr>
    </w:p>
    <w:p w14:paraId="156D3971" w14:textId="70C3C449" w:rsidR="001013C4" w:rsidRPr="001013C4" w:rsidRDefault="001013C4" w:rsidP="001013C4">
      <w:pPr>
        <w:pStyle w:val="Sinespaciado"/>
        <w:jc w:val="both"/>
        <w:rPr>
          <w:rFonts w:cs="Calibri"/>
          <w:lang w:val="es-ES_tradnl"/>
        </w:rPr>
      </w:pPr>
      <w:r w:rsidRPr="001013C4">
        <w:rPr>
          <w:rFonts w:cs="Calibri"/>
          <w:lang w:val="es-ES_tradnl"/>
        </w:rPr>
        <w:t>Este proyecto cuenta con el apoyo técnico del equipo del Plan de Manejo de Páramo</w:t>
      </w:r>
      <w:r w:rsidRPr="001013C4">
        <w:rPr>
          <w:rFonts w:cs="Calibri"/>
          <w:lang w:val="es-ES_tradnl"/>
        </w:rPr>
        <w:t>s</w:t>
      </w:r>
      <w:r w:rsidRPr="001013C4">
        <w:rPr>
          <w:rFonts w:cs="Calibri"/>
          <w:lang w:val="es-ES_tradnl"/>
        </w:rPr>
        <w:t xml:space="preserve"> y la participación de especialistas externos, quienes brindan asistencia para la correcta instalación de la membrana, el diseño de los estanques y el monitoreo de las condiciones de cultivo. Además, se capacita a los integrantes de la Asociación </w:t>
      </w:r>
      <w:proofErr w:type="spellStart"/>
      <w:r w:rsidRPr="001013C4">
        <w:rPr>
          <w:rFonts w:cs="Calibri"/>
          <w:lang w:val="es-ES_tradnl"/>
        </w:rPr>
        <w:t>Pucutahua</w:t>
      </w:r>
      <w:proofErr w:type="spellEnd"/>
      <w:r w:rsidRPr="001013C4">
        <w:rPr>
          <w:rFonts w:cs="Calibri"/>
          <w:lang w:val="es-ES_tradnl"/>
        </w:rPr>
        <w:t xml:space="preserve"> en el manejo de estanques revestidos y en buenas prácticas de piscicultura, asegurando que la comunidad pueda sostener y replicar estos procesos de manera autónoma.</w:t>
      </w:r>
    </w:p>
    <w:p w14:paraId="1A41616B" w14:textId="77777777" w:rsidR="001013C4" w:rsidRPr="001013C4" w:rsidRDefault="001013C4" w:rsidP="001013C4">
      <w:pPr>
        <w:pStyle w:val="Sinespaciado"/>
        <w:jc w:val="both"/>
        <w:rPr>
          <w:rFonts w:cs="Calibri"/>
          <w:lang w:val="es-ES_tradnl"/>
        </w:rPr>
      </w:pPr>
    </w:p>
    <w:p w14:paraId="594316A4" w14:textId="77777777" w:rsidR="001013C4" w:rsidRPr="001013C4" w:rsidRDefault="001013C4" w:rsidP="001013C4">
      <w:pPr>
        <w:pStyle w:val="Sinespaciado"/>
        <w:jc w:val="both"/>
        <w:rPr>
          <w:rFonts w:cs="Calibri"/>
          <w:lang w:val="es-ES_tradnl"/>
        </w:rPr>
      </w:pPr>
      <w:r w:rsidRPr="001013C4">
        <w:rPr>
          <w:rFonts w:cs="Calibri"/>
          <w:lang w:val="es-ES_tradnl"/>
        </w:rPr>
        <w:t>La implementación de esta iniciativa demuestra el compromiso permanente del Gobierno Provincial de Tungurahua con el desarrollo sostenible de las comunidades altoandinas, promoviendo alternativas productivas que mejoran la economía local y fortalecen la gestión de los recursos naturales en el marco de los Planes de Manejo de Páramo.</w:t>
      </w:r>
    </w:p>
    <w:p w14:paraId="7DC88A6F" w14:textId="77777777" w:rsidR="001013C4" w:rsidRPr="001013C4" w:rsidRDefault="001013C4" w:rsidP="001013C4">
      <w:pPr>
        <w:pStyle w:val="Sinespaciado"/>
        <w:jc w:val="both"/>
        <w:rPr>
          <w:rFonts w:cs="Calibri"/>
          <w:lang w:val="es-ES_tradnl"/>
        </w:rPr>
      </w:pPr>
    </w:p>
    <w:p w14:paraId="572858D1" w14:textId="77777777" w:rsidR="001013C4" w:rsidRPr="001013C4" w:rsidRDefault="001013C4" w:rsidP="001013C4">
      <w:pPr>
        <w:pStyle w:val="Sinespaciado"/>
        <w:jc w:val="both"/>
        <w:rPr>
          <w:rFonts w:cs="Calibri"/>
          <w:lang w:val="es-ES_tradnl"/>
        </w:rPr>
      </w:pPr>
    </w:p>
    <w:p w14:paraId="0FFF9B47" w14:textId="77777777" w:rsidR="001013C4" w:rsidRPr="001013C4" w:rsidRDefault="001013C4" w:rsidP="001013C4">
      <w:pPr>
        <w:pStyle w:val="Sinespaciado"/>
        <w:jc w:val="both"/>
        <w:rPr>
          <w:rFonts w:cs="Calibri"/>
          <w:lang w:val="es-ES_tradnl"/>
        </w:rPr>
      </w:pPr>
    </w:p>
    <w:sectPr w:rsidR="001013C4" w:rsidRPr="001013C4"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075B" w14:textId="77777777" w:rsidR="00B02659" w:rsidRDefault="00B02659" w:rsidP="008361BB">
      <w:r>
        <w:separator/>
      </w:r>
    </w:p>
  </w:endnote>
  <w:endnote w:type="continuationSeparator" w:id="0">
    <w:p w14:paraId="74287953" w14:textId="77777777" w:rsidR="00B02659" w:rsidRDefault="00B02659"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78A6" w14:textId="77777777" w:rsidR="00B02659" w:rsidRDefault="00B02659" w:rsidP="008361BB">
      <w:r>
        <w:separator/>
      </w:r>
    </w:p>
  </w:footnote>
  <w:footnote w:type="continuationSeparator" w:id="0">
    <w:p w14:paraId="7DB0CCFC" w14:textId="77777777" w:rsidR="00B02659" w:rsidRDefault="00B02659"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13F8D61B" w:rsidR="008361BB" w:rsidRDefault="00F24F7D">
    <w:pPr>
      <w:pStyle w:val="Encabezado"/>
    </w:pPr>
    <w:r>
      <w:rPr>
        <w:noProof/>
      </w:rPr>
      <w:drawing>
        <wp:anchor distT="0" distB="0" distL="114300" distR="114300" simplePos="0" relativeHeight="251658240" behindDoc="1" locked="0" layoutInCell="1" allowOverlap="1" wp14:anchorId="4C3A896C" wp14:editId="4D9B94EA">
          <wp:simplePos x="0" y="0"/>
          <wp:positionH relativeFrom="column">
            <wp:posOffset>-1069625</wp:posOffset>
          </wp:positionH>
          <wp:positionV relativeFrom="paragraph">
            <wp:posOffset>-428559</wp:posOffset>
          </wp:positionV>
          <wp:extent cx="7535918" cy="10651202"/>
          <wp:effectExtent l="0" t="0" r="0" b="4445"/>
          <wp:wrapNone/>
          <wp:docPr id="3577959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95918" name="Imagen 357795918"/>
                  <pic:cNvPicPr/>
                </pic:nvPicPr>
                <pic:blipFill>
                  <a:blip r:embed="rId1">
                    <a:extLst>
                      <a:ext uri="{28A0092B-C50C-407E-A947-70E740481C1C}">
                        <a14:useLocalDpi xmlns:a14="http://schemas.microsoft.com/office/drawing/2010/main" val="0"/>
                      </a:ext>
                    </a:extLst>
                  </a:blip>
                  <a:stretch>
                    <a:fillRect/>
                  </a:stretch>
                </pic:blipFill>
                <pic:spPr>
                  <a:xfrm>
                    <a:off x="0" y="0"/>
                    <a:ext cx="7553458" cy="106759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34D8E"/>
    <w:multiLevelType w:val="hybridMultilevel"/>
    <w:tmpl w:val="7B8C30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6B2847"/>
    <w:multiLevelType w:val="hybridMultilevel"/>
    <w:tmpl w:val="BACA52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E2020D"/>
    <w:multiLevelType w:val="multilevel"/>
    <w:tmpl w:val="9A007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7F09BD"/>
    <w:multiLevelType w:val="hybridMultilevel"/>
    <w:tmpl w:val="7D2EB7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F45045A"/>
    <w:multiLevelType w:val="hybridMultilevel"/>
    <w:tmpl w:val="6ABAD4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74278A9"/>
    <w:multiLevelType w:val="hybridMultilevel"/>
    <w:tmpl w:val="B80E9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2A13D56"/>
    <w:multiLevelType w:val="hybridMultilevel"/>
    <w:tmpl w:val="B296D0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CF0C9C"/>
    <w:multiLevelType w:val="hybridMultilevel"/>
    <w:tmpl w:val="31FAC7B2"/>
    <w:lvl w:ilvl="0" w:tplc="080A000B">
      <w:start w:val="1"/>
      <w:numFmt w:val="bullet"/>
      <w:lvlText w:val=""/>
      <w:lvlJc w:val="left"/>
      <w:pPr>
        <w:ind w:left="765" w:hanging="360"/>
      </w:pPr>
      <w:rPr>
        <w:rFonts w:ascii="Wingdings" w:hAnsi="Wingdings"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16cid:durableId="1621571276">
    <w:abstractNumId w:val="7"/>
  </w:num>
  <w:num w:numId="2" w16cid:durableId="895701370">
    <w:abstractNumId w:val="0"/>
  </w:num>
  <w:num w:numId="3" w16cid:durableId="1658024722">
    <w:abstractNumId w:val="5"/>
  </w:num>
  <w:num w:numId="4" w16cid:durableId="284890071">
    <w:abstractNumId w:val="6"/>
  </w:num>
  <w:num w:numId="5" w16cid:durableId="1041243752">
    <w:abstractNumId w:val="4"/>
  </w:num>
  <w:num w:numId="6" w16cid:durableId="119425999">
    <w:abstractNumId w:val="2"/>
  </w:num>
  <w:num w:numId="7" w16cid:durableId="830566691">
    <w:abstractNumId w:val="1"/>
  </w:num>
  <w:num w:numId="8" w16cid:durableId="1243025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23D0"/>
    <w:rsid w:val="00011E93"/>
    <w:rsid w:val="000436CB"/>
    <w:rsid w:val="000513D5"/>
    <w:rsid w:val="00054E40"/>
    <w:rsid w:val="00071097"/>
    <w:rsid w:val="00082F20"/>
    <w:rsid w:val="000A1068"/>
    <w:rsid w:val="000C0643"/>
    <w:rsid w:val="000E0703"/>
    <w:rsid w:val="000E49EB"/>
    <w:rsid w:val="000F5273"/>
    <w:rsid w:val="001013C4"/>
    <w:rsid w:val="001074B1"/>
    <w:rsid w:val="00113B7B"/>
    <w:rsid w:val="0012104E"/>
    <w:rsid w:val="00137016"/>
    <w:rsid w:val="00153DB3"/>
    <w:rsid w:val="001551B4"/>
    <w:rsid w:val="00160D8B"/>
    <w:rsid w:val="00162A1D"/>
    <w:rsid w:val="00165CC7"/>
    <w:rsid w:val="00166639"/>
    <w:rsid w:val="00181094"/>
    <w:rsid w:val="001949F1"/>
    <w:rsid w:val="001B378E"/>
    <w:rsid w:val="001B7334"/>
    <w:rsid w:val="001C107F"/>
    <w:rsid w:val="001D2311"/>
    <w:rsid w:val="001D74C3"/>
    <w:rsid w:val="001E30CC"/>
    <w:rsid w:val="002152FF"/>
    <w:rsid w:val="002175F9"/>
    <w:rsid w:val="00224663"/>
    <w:rsid w:val="00230C93"/>
    <w:rsid w:val="00277FD3"/>
    <w:rsid w:val="002D2DDB"/>
    <w:rsid w:val="002E5D3D"/>
    <w:rsid w:val="002F0B9C"/>
    <w:rsid w:val="002F1516"/>
    <w:rsid w:val="00300228"/>
    <w:rsid w:val="0032182E"/>
    <w:rsid w:val="00322250"/>
    <w:rsid w:val="00352C24"/>
    <w:rsid w:val="00352E9A"/>
    <w:rsid w:val="00354587"/>
    <w:rsid w:val="00354C43"/>
    <w:rsid w:val="003576C1"/>
    <w:rsid w:val="003677C5"/>
    <w:rsid w:val="00374012"/>
    <w:rsid w:val="003928A7"/>
    <w:rsid w:val="003A4293"/>
    <w:rsid w:val="003C6BD4"/>
    <w:rsid w:val="003C7792"/>
    <w:rsid w:val="003D64FC"/>
    <w:rsid w:val="003E3DD6"/>
    <w:rsid w:val="003E72FC"/>
    <w:rsid w:val="003F1C94"/>
    <w:rsid w:val="003F6802"/>
    <w:rsid w:val="004031EA"/>
    <w:rsid w:val="004255AE"/>
    <w:rsid w:val="00427686"/>
    <w:rsid w:val="00450032"/>
    <w:rsid w:val="00454972"/>
    <w:rsid w:val="00465118"/>
    <w:rsid w:val="00474340"/>
    <w:rsid w:val="00477C4A"/>
    <w:rsid w:val="0048511B"/>
    <w:rsid w:val="00493215"/>
    <w:rsid w:val="004A1A4D"/>
    <w:rsid w:val="004A5179"/>
    <w:rsid w:val="004C23F2"/>
    <w:rsid w:val="004D30D2"/>
    <w:rsid w:val="004F6EDE"/>
    <w:rsid w:val="00502C24"/>
    <w:rsid w:val="0050664B"/>
    <w:rsid w:val="00520CB8"/>
    <w:rsid w:val="00523E31"/>
    <w:rsid w:val="00533C95"/>
    <w:rsid w:val="00540584"/>
    <w:rsid w:val="005471A7"/>
    <w:rsid w:val="00554BE2"/>
    <w:rsid w:val="00562680"/>
    <w:rsid w:val="00593C86"/>
    <w:rsid w:val="00595F2D"/>
    <w:rsid w:val="005B1685"/>
    <w:rsid w:val="005B4A2D"/>
    <w:rsid w:val="005C4331"/>
    <w:rsid w:val="005E1384"/>
    <w:rsid w:val="005E2355"/>
    <w:rsid w:val="005E24D8"/>
    <w:rsid w:val="00613EBA"/>
    <w:rsid w:val="00622C68"/>
    <w:rsid w:val="0063033A"/>
    <w:rsid w:val="00641180"/>
    <w:rsid w:val="006414C7"/>
    <w:rsid w:val="00642AB2"/>
    <w:rsid w:val="00645629"/>
    <w:rsid w:val="006479E8"/>
    <w:rsid w:val="00663F33"/>
    <w:rsid w:val="00674496"/>
    <w:rsid w:val="00684F85"/>
    <w:rsid w:val="00685A63"/>
    <w:rsid w:val="006B070D"/>
    <w:rsid w:val="006B5108"/>
    <w:rsid w:val="006B52B2"/>
    <w:rsid w:val="006C08C9"/>
    <w:rsid w:val="006C1836"/>
    <w:rsid w:val="006D14B9"/>
    <w:rsid w:val="006D1644"/>
    <w:rsid w:val="006F1880"/>
    <w:rsid w:val="006F4F62"/>
    <w:rsid w:val="0072399D"/>
    <w:rsid w:val="007355AD"/>
    <w:rsid w:val="00736569"/>
    <w:rsid w:val="00750C44"/>
    <w:rsid w:val="007525CF"/>
    <w:rsid w:val="0075443A"/>
    <w:rsid w:val="0077569B"/>
    <w:rsid w:val="00776C7E"/>
    <w:rsid w:val="00781960"/>
    <w:rsid w:val="00787AA8"/>
    <w:rsid w:val="00790797"/>
    <w:rsid w:val="00795547"/>
    <w:rsid w:val="007A49AB"/>
    <w:rsid w:val="007B4795"/>
    <w:rsid w:val="007B6EA4"/>
    <w:rsid w:val="007D1144"/>
    <w:rsid w:val="007D38E5"/>
    <w:rsid w:val="007D4310"/>
    <w:rsid w:val="007D7E9C"/>
    <w:rsid w:val="00821383"/>
    <w:rsid w:val="00822829"/>
    <w:rsid w:val="008257BB"/>
    <w:rsid w:val="00826051"/>
    <w:rsid w:val="008353AA"/>
    <w:rsid w:val="008361BB"/>
    <w:rsid w:val="00853188"/>
    <w:rsid w:val="008618B4"/>
    <w:rsid w:val="00873AE4"/>
    <w:rsid w:val="008775C6"/>
    <w:rsid w:val="0088774B"/>
    <w:rsid w:val="0089271D"/>
    <w:rsid w:val="008A60E2"/>
    <w:rsid w:val="008B30B0"/>
    <w:rsid w:val="008E6789"/>
    <w:rsid w:val="008E76E2"/>
    <w:rsid w:val="008F52FE"/>
    <w:rsid w:val="00904A70"/>
    <w:rsid w:val="00910325"/>
    <w:rsid w:val="00914655"/>
    <w:rsid w:val="00922DBA"/>
    <w:rsid w:val="00925584"/>
    <w:rsid w:val="0093663A"/>
    <w:rsid w:val="0094216E"/>
    <w:rsid w:val="0094783F"/>
    <w:rsid w:val="009513F2"/>
    <w:rsid w:val="00962E74"/>
    <w:rsid w:val="0096534F"/>
    <w:rsid w:val="00972EB8"/>
    <w:rsid w:val="0099578F"/>
    <w:rsid w:val="00996990"/>
    <w:rsid w:val="009C41E4"/>
    <w:rsid w:val="009D41FA"/>
    <w:rsid w:val="009F29F0"/>
    <w:rsid w:val="00A03755"/>
    <w:rsid w:val="00A1420C"/>
    <w:rsid w:val="00A1650F"/>
    <w:rsid w:val="00A17A9F"/>
    <w:rsid w:val="00A204CA"/>
    <w:rsid w:val="00A20628"/>
    <w:rsid w:val="00A21353"/>
    <w:rsid w:val="00A544F1"/>
    <w:rsid w:val="00A5515F"/>
    <w:rsid w:val="00A56BBB"/>
    <w:rsid w:val="00A621BA"/>
    <w:rsid w:val="00A65D08"/>
    <w:rsid w:val="00A73DF4"/>
    <w:rsid w:val="00A83475"/>
    <w:rsid w:val="00A86628"/>
    <w:rsid w:val="00A948B0"/>
    <w:rsid w:val="00AA04F5"/>
    <w:rsid w:val="00AC6974"/>
    <w:rsid w:val="00AE5081"/>
    <w:rsid w:val="00AE70A7"/>
    <w:rsid w:val="00AF7FCE"/>
    <w:rsid w:val="00B02659"/>
    <w:rsid w:val="00B13276"/>
    <w:rsid w:val="00B35BF8"/>
    <w:rsid w:val="00B417FD"/>
    <w:rsid w:val="00B5467E"/>
    <w:rsid w:val="00B64A9D"/>
    <w:rsid w:val="00B85D58"/>
    <w:rsid w:val="00B86292"/>
    <w:rsid w:val="00B959D3"/>
    <w:rsid w:val="00BA5FE5"/>
    <w:rsid w:val="00BA7B54"/>
    <w:rsid w:val="00BB6608"/>
    <w:rsid w:val="00BC0C3D"/>
    <w:rsid w:val="00BE4629"/>
    <w:rsid w:val="00BE4B47"/>
    <w:rsid w:val="00BF004F"/>
    <w:rsid w:val="00C014F4"/>
    <w:rsid w:val="00C33DCE"/>
    <w:rsid w:val="00C446B0"/>
    <w:rsid w:val="00C45FD4"/>
    <w:rsid w:val="00C46FB5"/>
    <w:rsid w:val="00C93276"/>
    <w:rsid w:val="00C94809"/>
    <w:rsid w:val="00C96193"/>
    <w:rsid w:val="00CA2E87"/>
    <w:rsid w:val="00CA682D"/>
    <w:rsid w:val="00CC3D83"/>
    <w:rsid w:val="00CC4F1B"/>
    <w:rsid w:val="00CE2183"/>
    <w:rsid w:val="00CE5781"/>
    <w:rsid w:val="00D05591"/>
    <w:rsid w:val="00D078A5"/>
    <w:rsid w:val="00D127E6"/>
    <w:rsid w:val="00D373D6"/>
    <w:rsid w:val="00D6123C"/>
    <w:rsid w:val="00D75A34"/>
    <w:rsid w:val="00D87CEB"/>
    <w:rsid w:val="00D90A7E"/>
    <w:rsid w:val="00DA28B1"/>
    <w:rsid w:val="00DD19AA"/>
    <w:rsid w:val="00DE1C22"/>
    <w:rsid w:val="00DE620F"/>
    <w:rsid w:val="00E01399"/>
    <w:rsid w:val="00E02032"/>
    <w:rsid w:val="00E05037"/>
    <w:rsid w:val="00E05F5A"/>
    <w:rsid w:val="00E17F21"/>
    <w:rsid w:val="00E22C82"/>
    <w:rsid w:val="00E32DDB"/>
    <w:rsid w:val="00E369D9"/>
    <w:rsid w:val="00E43609"/>
    <w:rsid w:val="00E449F4"/>
    <w:rsid w:val="00E507B6"/>
    <w:rsid w:val="00E54980"/>
    <w:rsid w:val="00E70C64"/>
    <w:rsid w:val="00E75551"/>
    <w:rsid w:val="00E812AD"/>
    <w:rsid w:val="00E81A88"/>
    <w:rsid w:val="00E942EE"/>
    <w:rsid w:val="00EA36DC"/>
    <w:rsid w:val="00EB0E6E"/>
    <w:rsid w:val="00EE6E28"/>
    <w:rsid w:val="00EF179A"/>
    <w:rsid w:val="00F05506"/>
    <w:rsid w:val="00F06D1C"/>
    <w:rsid w:val="00F14E7F"/>
    <w:rsid w:val="00F1539B"/>
    <w:rsid w:val="00F24F7D"/>
    <w:rsid w:val="00F2640C"/>
    <w:rsid w:val="00F27DAB"/>
    <w:rsid w:val="00F35010"/>
    <w:rsid w:val="00F37C57"/>
    <w:rsid w:val="00F6429C"/>
    <w:rsid w:val="00F65CCC"/>
    <w:rsid w:val="00F67A49"/>
    <w:rsid w:val="00FB0762"/>
    <w:rsid w:val="00FB6842"/>
    <w:rsid w:val="00FC1D70"/>
    <w:rsid w:val="00FC3C44"/>
    <w:rsid w:val="00FE226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0F5273"/>
    <w:rPr>
      <w:rFonts w:ascii="Calibri" w:eastAsia="Calibri" w:hAnsi="Calibri" w:cs="Times New Roman"/>
      <w:kern w:val="0"/>
      <w:sz w:val="22"/>
      <w:szCs w:val="22"/>
      <w:lang w:val="es-ES"/>
      <w14:ligatures w14:val="none"/>
    </w:rPr>
  </w:style>
  <w:style w:type="character" w:styleId="Textoennegrita">
    <w:name w:val="Strong"/>
    <w:basedOn w:val="Fuentedeprrafopredeter"/>
    <w:uiPriority w:val="22"/>
    <w:qFormat/>
    <w:rsid w:val="00873AE4"/>
    <w:rPr>
      <w:b/>
      <w:bCs/>
    </w:rPr>
  </w:style>
  <w:style w:type="paragraph" w:styleId="NormalWeb">
    <w:name w:val="Normal (Web)"/>
    <w:basedOn w:val="Normal"/>
    <w:uiPriority w:val="99"/>
    <w:semiHidden/>
    <w:unhideWhenUsed/>
    <w:rsid w:val="0077569B"/>
    <w:pPr>
      <w:spacing w:before="100" w:beforeAutospacing="1" w:after="100" w:afterAutospacing="1"/>
    </w:pPr>
    <w:rPr>
      <w:rFonts w:ascii="Times New Roman" w:eastAsia="Times New Roman" w:hAnsi="Times New Roman" w:cs="Times New Roman"/>
      <w:kern w:val="0"/>
      <w:lang w:val="es-MX" w:eastAsia="es-MX"/>
      <w14:ligatures w14:val="none"/>
    </w:rPr>
  </w:style>
  <w:style w:type="character" w:customStyle="1" w:styleId="vkekvd">
    <w:name w:val="vkekvd"/>
    <w:basedOn w:val="Fuentedeprrafopredeter"/>
    <w:rsid w:val="00DD1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6B4F6-D5C6-4AEC-BBE8-9C128CF5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1</Pages>
  <Words>419</Words>
  <Characters>2309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82</cp:revision>
  <cp:lastPrinted>2025-11-07T19:50:00Z</cp:lastPrinted>
  <dcterms:created xsi:type="dcterms:W3CDTF">2025-10-16T15:28:00Z</dcterms:created>
  <dcterms:modified xsi:type="dcterms:W3CDTF">2025-11-19T15:19:00Z</dcterms:modified>
</cp:coreProperties>
</file>